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52ACE" w14:textId="526A714E" w:rsidR="007831AB" w:rsidRDefault="00D51AAA">
      <w:pPr>
        <w:spacing w:line="276" w:lineRule="auto"/>
        <w:jc w:val="both"/>
        <w:rPr>
          <w:sz w:val="28"/>
          <w:szCs w:val="28"/>
        </w:rPr>
      </w:pPr>
      <w:r w:rsidRPr="00B24AA2">
        <w:rPr>
          <w:rFonts w:ascii="Calibri Light" w:hAnsi="Calibri Light" w:cs="Calibri Light"/>
          <w:noProof/>
          <w:sz w:val="20"/>
        </w:rPr>
        <w:drawing>
          <wp:anchor distT="0" distB="0" distL="114300" distR="114300" simplePos="0" relativeHeight="251659264" behindDoc="0" locked="0" layoutInCell="1" allowOverlap="1" wp14:anchorId="33BE8F2A" wp14:editId="7E1F7465">
            <wp:simplePos x="0" y="0"/>
            <wp:positionH relativeFrom="margin">
              <wp:posOffset>4434840</wp:posOffset>
            </wp:positionH>
            <wp:positionV relativeFrom="paragraph">
              <wp:posOffset>209550</wp:posOffset>
            </wp:positionV>
            <wp:extent cx="995680" cy="1038225"/>
            <wp:effectExtent l="304800" t="209550" r="280670" b="219075"/>
            <wp:wrapSquare wrapText="bothSides"/>
            <wp:docPr id="3" name="Imagen 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10;&#10;Descripción generada automáticamente"/>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l="-4798" t="4829" r="-1416" b="-3529"/>
                    <a:stretch/>
                  </pic:blipFill>
                  <pic:spPr bwMode="auto">
                    <a:xfrm>
                      <a:off x="0" y="0"/>
                      <a:ext cx="995680" cy="1038225"/>
                    </a:xfrm>
                    <a:prstGeom prst="rect">
                      <a:avLst/>
                    </a:prstGeom>
                    <a:solidFill>
                      <a:srgbClr val="FFFFFF">
                        <a:shade val="85000"/>
                      </a:srgbClr>
                    </a:solidFill>
                    <a:ln w="190500" cap="sq" cmpd="sng" algn="ctr">
                      <a:solidFill>
                        <a:srgbClr val="FFFFFF"/>
                      </a:solidFill>
                      <a:prstDash val="solid"/>
                      <a:miter lim="800000"/>
                      <a:headEnd type="none" w="med" len="med"/>
                      <a:tailEnd type="none" w="med" len="med"/>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83681E" w14:textId="28655494" w:rsidR="007831AB" w:rsidRDefault="007831AB">
      <w:pPr>
        <w:spacing w:line="276" w:lineRule="auto"/>
        <w:jc w:val="both"/>
        <w:rPr>
          <w:sz w:val="28"/>
          <w:szCs w:val="28"/>
        </w:rPr>
      </w:pPr>
    </w:p>
    <w:p w14:paraId="35C3A629" w14:textId="77777777" w:rsidR="007831AB" w:rsidRDefault="007831AB">
      <w:pPr>
        <w:spacing w:line="276" w:lineRule="auto"/>
        <w:jc w:val="both"/>
        <w:rPr>
          <w:sz w:val="28"/>
          <w:szCs w:val="28"/>
        </w:rPr>
      </w:pPr>
    </w:p>
    <w:p w14:paraId="451C7CA0" w14:textId="77777777" w:rsidR="00D51AAA" w:rsidRDefault="00D51AAA">
      <w:pPr>
        <w:spacing w:line="276" w:lineRule="auto"/>
        <w:jc w:val="both"/>
        <w:rPr>
          <w:sz w:val="28"/>
          <w:szCs w:val="28"/>
        </w:rPr>
      </w:pPr>
    </w:p>
    <w:p w14:paraId="468274A5" w14:textId="77777777" w:rsidR="005867B1" w:rsidRDefault="005867B1">
      <w:pPr>
        <w:spacing w:line="276" w:lineRule="auto"/>
        <w:jc w:val="both"/>
        <w:rPr>
          <w:sz w:val="28"/>
          <w:szCs w:val="28"/>
        </w:rPr>
      </w:pPr>
    </w:p>
    <w:p w14:paraId="74C3881C" w14:textId="4B66EC42" w:rsidR="00B018C2" w:rsidRDefault="000F029F">
      <w:pPr>
        <w:spacing w:line="276" w:lineRule="auto"/>
        <w:jc w:val="both"/>
        <w:rPr>
          <w:b/>
          <w:sz w:val="28"/>
          <w:szCs w:val="28"/>
        </w:rPr>
      </w:pPr>
      <w:r>
        <w:rPr>
          <w:sz w:val="28"/>
          <w:szCs w:val="28"/>
        </w:rPr>
        <w:t>Alegaciones al</w:t>
      </w:r>
      <w:r>
        <w:rPr>
          <w:b/>
          <w:sz w:val="28"/>
          <w:szCs w:val="28"/>
        </w:rPr>
        <w:t xml:space="preserve"> </w:t>
      </w:r>
      <w:r>
        <w:rPr>
          <w:b/>
          <w:sz w:val="24"/>
          <w:szCs w:val="24"/>
        </w:rPr>
        <w:t>PROGRAMA DE LA CONSEJERIA DE FAMILIA E IGUALDAD DE OPORTUNIDADES DE ACTUACIONES ESTRATÉGICAS PARA PREVENIR Y COMBATIR LA POBREZA INFANTIL EN CASTILLA Y LEÓN 2021-2027</w:t>
      </w:r>
    </w:p>
    <w:p w14:paraId="7DA312D4" w14:textId="7564C44C" w:rsidR="00B018C2" w:rsidRDefault="00B018C2">
      <w:pPr>
        <w:spacing w:line="276" w:lineRule="auto"/>
        <w:jc w:val="both"/>
        <w:rPr>
          <w:color w:val="000000"/>
          <w:sz w:val="24"/>
          <w:szCs w:val="24"/>
        </w:rPr>
      </w:pPr>
    </w:p>
    <w:p w14:paraId="12B1CD1D" w14:textId="4A1692B9" w:rsidR="00487628" w:rsidRDefault="00487628" w:rsidP="00487628">
      <w:pPr>
        <w:spacing w:line="276" w:lineRule="auto"/>
        <w:jc w:val="center"/>
        <w:rPr>
          <w:color w:val="000000"/>
          <w:sz w:val="24"/>
          <w:szCs w:val="24"/>
        </w:rPr>
      </w:pPr>
      <w:r>
        <w:rPr>
          <w:color w:val="000000"/>
          <w:sz w:val="24"/>
          <w:szCs w:val="24"/>
        </w:rPr>
        <w:t>1</w:t>
      </w:r>
    </w:p>
    <w:p w14:paraId="741656A2" w14:textId="77777777" w:rsidR="00B018C2" w:rsidRDefault="000F029F">
      <w:pPr>
        <w:spacing w:line="276" w:lineRule="auto"/>
        <w:jc w:val="both"/>
        <w:rPr>
          <w:color w:val="000000"/>
          <w:sz w:val="24"/>
          <w:szCs w:val="24"/>
        </w:rPr>
      </w:pPr>
      <w:r>
        <w:rPr>
          <w:color w:val="000000"/>
          <w:sz w:val="24"/>
          <w:szCs w:val="24"/>
        </w:rPr>
        <w:t xml:space="preserve">No se puede prevenir, ni combatir la pobreza infantil mientras existan barrios o zonas donde la mayoría de las familias que residen en ellas se encuentran en riesgo de exclusión social. Lo primero que se debe hacer es acotar la dimensión de la población a la que se dirige el programa identificando estas zonas, en las que debe desarrollarse una intervención integral. </w:t>
      </w:r>
    </w:p>
    <w:p w14:paraId="18067C5D" w14:textId="5AC217BE" w:rsidR="00B018C2" w:rsidRDefault="008D64F2">
      <w:pPr>
        <w:spacing w:line="276" w:lineRule="auto"/>
        <w:jc w:val="both"/>
        <w:rPr>
          <w:color w:val="000000"/>
          <w:sz w:val="24"/>
          <w:szCs w:val="24"/>
        </w:rPr>
      </w:pPr>
      <w:r>
        <w:rPr>
          <w:color w:val="000000"/>
          <w:sz w:val="24"/>
          <w:szCs w:val="24"/>
        </w:rPr>
        <w:t>Alegación 1</w:t>
      </w:r>
    </w:p>
    <w:p w14:paraId="4BDDCAD6" w14:textId="018E81C5" w:rsidR="00B018C2" w:rsidRDefault="000F029F">
      <w:pPr>
        <w:spacing w:line="276" w:lineRule="auto"/>
        <w:jc w:val="both"/>
        <w:rPr>
          <w:b/>
          <w:bCs/>
          <w:color w:val="000000"/>
          <w:sz w:val="24"/>
          <w:szCs w:val="24"/>
        </w:rPr>
      </w:pPr>
      <w:r w:rsidRPr="008D64F2">
        <w:rPr>
          <w:b/>
          <w:bCs/>
          <w:color w:val="000000"/>
          <w:sz w:val="24"/>
          <w:szCs w:val="24"/>
        </w:rPr>
        <w:t xml:space="preserve">El programa debe incluir la identificación de los barrios y zonas, tanto en los municipios urbanos, como rurales, para plantear una respuesta integral en coordinación con las corporaciones locales de esos municipios. Incluyendo en cada caso el volumen de población y menores a los que va dirigido el programa, para poder evaluar al final </w:t>
      </w:r>
      <w:r w:rsidR="00487628" w:rsidRPr="008D64F2">
        <w:rPr>
          <w:b/>
          <w:bCs/>
          <w:color w:val="000000"/>
          <w:sz w:val="24"/>
          <w:szCs w:val="24"/>
        </w:rPr>
        <w:t>de este</w:t>
      </w:r>
      <w:r w:rsidRPr="008D64F2">
        <w:rPr>
          <w:b/>
          <w:bCs/>
          <w:color w:val="000000"/>
          <w:sz w:val="24"/>
          <w:szCs w:val="24"/>
        </w:rPr>
        <w:t xml:space="preserve"> cuales son los avances que se han producido. </w:t>
      </w:r>
    </w:p>
    <w:p w14:paraId="118825A9" w14:textId="77777777" w:rsidR="00B721C7" w:rsidRPr="008D64F2" w:rsidRDefault="00B721C7">
      <w:pPr>
        <w:spacing w:line="276" w:lineRule="auto"/>
        <w:jc w:val="both"/>
        <w:rPr>
          <w:b/>
          <w:bCs/>
          <w:color w:val="000000"/>
          <w:sz w:val="24"/>
          <w:szCs w:val="24"/>
        </w:rPr>
      </w:pPr>
    </w:p>
    <w:p w14:paraId="16BB3F6C" w14:textId="5F079E18" w:rsidR="00B018C2" w:rsidRDefault="00487628" w:rsidP="00487628">
      <w:pPr>
        <w:spacing w:line="276" w:lineRule="auto"/>
        <w:jc w:val="center"/>
      </w:pPr>
      <w:r>
        <w:t>2</w:t>
      </w:r>
    </w:p>
    <w:p w14:paraId="73F41077" w14:textId="4D513AD6" w:rsidR="00D32310" w:rsidRPr="005941C8" w:rsidRDefault="000F029F" w:rsidP="00D32310">
      <w:pPr>
        <w:pStyle w:val="Pa23"/>
        <w:spacing w:before="20" w:after="20" w:line="276" w:lineRule="auto"/>
        <w:jc w:val="both"/>
        <w:rPr>
          <w:rFonts w:asciiTheme="minorHAnsi" w:hAnsiTheme="minorHAnsi" w:cstheme="minorHAnsi"/>
          <w:color w:val="000000"/>
        </w:rPr>
      </w:pPr>
      <w:r w:rsidRPr="000156FC">
        <w:rPr>
          <w:rFonts w:asciiTheme="minorHAnsi" w:hAnsiTheme="minorHAnsi" w:cstheme="minorHAnsi"/>
          <w:color w:val="000000"/>
        </w:rPr>
        <w:t>Es una contradicción que se plantee prevenir y combatir la pobreza infantil cuando en el Catálogo de servicios sociales de CYL el servicio de  acción social comunitaria y promoción de la solidaridad, el servicio de actuaciones preventivas para familias con hijos o hijas menores en situación de riesgo, el servicio de apoyo preventivo a la infancia y a la adolescencia en situación de riesgo y el servicio de apoyo familiar para la inclusión social, son servicios que no están catalogados como prestaciones esenciales, y por lo tanto no es obligatoria su prestación</w:t>
      </w:r>
      <w:r w:rsidR="00F242F2" w:rsidRPr="000156FC">
        <w:rPr>
          <w:rFonts w:asciiTheme="minorHAnsi" w:hAnsiTheme="minorHAnsi" w:cstheme="minorHAnsi"/>
          <w:color w:val="000000"/>
        </w:rPr>
        <w:t>;</w:t>
      </w:r>
      <w:r w:rsidR="000156FC" w:rsidRPr="005941C8">
        <w:rPr>
          <w:rFonts w:asciiTheme="minorHAnsi" w:hAnsiTheme="minorHAnsi" w:cstheme="minorHAnsi"/>
          <w:color w:val="000000"/>
        </w:rPr>
        <w:t xml:space="preserve"> </w:t>
      </w:r>
      <w:r w:rsidR="00D32310" w:rsidRPr="005941C8">
        <w:rPr>
          <w:rFonts w:asciiTheme="minorHAnsi" w:hAnsiTheme="minorHAnsi" w:cstheme="minorHAnsi"/>
          <w:color w:val="000000"/>
        </w:rPr>
        <w:t>a pesar de que la normativa de protección a la infancia es muy clara y contundente, así como el desarrollo de protocolos y guías  de actuación entre las diferentes administraciones y profesionales implicados según el nivel de riesgo de los menores.</w:t>
      </w:r>
    </w:p>
    <w:p w14:paraId="287CD73F" w14:textId="7528A62E" w:rsidR="00B018C2" w:rsidRPr="005941C8" w:rsidRDefault="00B018C2">
      <w:pPr>
        <w:pBdr>
          <w:top w:val="nil"/>
          <w:left w:val="nil"/>
          <w:bottom w:val="nil"/>
          <w:right w:val="nil"/>
          <w:between w:val="nil"/>
        </w:pBdr>
        <w:spacing w:before="20" w:after="20" w:line="276" w:lineRule="auto"/>
        <w:jc w:val="both"/>
        <w:rPr>
          <w:rFonts w:asciiTheme="minorHAnsi" w:hAnsiTheme="minorHAnsi" w:cstheme="minorHAnsi"/>
          <w:color w:val="000000"/>
          <w:sz w:val="24"/>
          <w:szCs w:val="24"/>
        </w:rPr>
      </w:pPr>
    </w:p>
    <w:p w14:paraId="1AE9F131" w14:textId="607A3122" w:rsidR="00B018C2" w:rsidRDefault="008D64F2">
      <w:pPr>
        <w:spacing w:line="276" w:lineRule="auto"/>
        <w:jc w:val="both"/>
        <w:rPr>
          <w:color w:val="000000"/>
          <w:sz w:val="24"/>
          <w:szCs w:val="24"/>
        </w:rPr>
      </w:pPr>
      <w:r>
        <w:rPr>
          <w:color w:val="000000"/>
          <w:sz w:val="24"/>
          <w:szCs w:val="24"/>
        </w:rPr>
        <w:lastRenderedPageBreak/>
        <w:t>Alegación 2</w:t>
      </w:r>
    </w:p>
    <w:p w14:paraId="1BD6979B" w14:textId="77777777" w:rsidR="00B018C2" w:rsidRPr="00253AF7" w:rsidRDefault="000F029F">
      <w:pPr>
        <w:spacing w:line="276" w:lineRule="auto"/>
        <w:jc w:val="both"/>
        <w:rPr>
          <w:b/>
          <w:bCs/>
          <w:color w:val="000000"/>
          <w:sz w:val="24"/>
          <w:szCs w:val="24"/>
        </w:rPr>
      </w:pPr>
      <w:r w:rsidRPr="00253AF7">
        <w:rPr>
          <w:b/>
          <w:bCs/>
          <w:color w:val="000000"/>
          <w:sz w:val="24"/>
          <w:szCs w:val="24"/>
        </w:rPr>
        <w:t>El programa debe incluir la modificación del Catálogo de servicios sociales de CYL para que se considere esenciales los siguientes servicios:</w:t>
      </w:r>
    </w:p>
    <w:p w14:paraId="1282CEA2" w14:textId="77777777" w:rsidR="00B018C2" w:rsidRPr="00253AF7" w:rsidRDefault="000F029F">
      <w:pPr>
        <w:numPr>
          <w:ilvl w:val="0"/>
          <w:numId w:val="1"/>
        </w:numPr>
        <w:pBdr>
          <w:top w:val="nil"/>
          <w:left w:val="nil"/>
          <w:bottom w:val="nil"/>
          <w:right w:val="nil"/>
          <w:between w:val="nil"/>
        </w:pBdr>
        <w:spacing w:after="0" w:line="276" w:lineRule="auto"/>
        <w:jc w:val="both"/>
        <w:rPr>
          <w:b/>
          <w:bCs/>
          <w:color w:val="000000"/>
          <w:sz w:val="24"/>
          <w:szCs w:val="24"/>
        </w:rPr>
      </w:pPr>
      <w:r w:rsidRPr="00253AF7">
        <w:rPr>
          <w:b/>
          <w:bCs/>
          <w:color w:val="000000"/>
        </w:rPr>
        <w:t xml:space="preserve">El servicio de </w:t>
      </w:r>
      <w:r w:rsidRPr="00253AF7">
        <w:rPr>
          <w:b/>
          <w:bCs/>
          <w:color w:val="000000"/>
          <w:sz w:val="24"/>
          <w:szCs w:val="24"/>
        </w:rPr>
        <w:t>acción social comunitaria y promoción de la solidaridad</w:t>
      </w:r>
    </w:p>
    <w:p w14:paraId="3F3DCE9B" w14:textId="77777777" w:rsidR="00B018C2" w:rsidRPr="00253AF7" w:rsidRDefault="000F029F">
      <w:pPr>
        <w:numPr>
          <w:ilvl w:val="0"/>
          <w:numId w:val="1"/>
        </w:numPr>
        <w:pBdr>
          <w:top w:val="nil"/>
          <w:left w:val="nil"/>
          <w:bottom w:val="nil"/>
          <w:right w:val="nil"/>
          <w:between w:val="nil"/>
        </w:pBdr>
        <w:spacing w:after="0" w:line="276" w:lineRule="auto"/>
        <w:jc w:val="both"/>
        <w:rPr>
          <w:b/>
          <w:bCs/>
          <w:color w:val="000000"/>
          <w:sz w:val="24"/>
          <w:szCs w:val="24"/>
        </w:rPr>
      </w:pPr>
      <w:r w:rsidRPr="00253AF7">
        <w:rPr>
          <w:b/>
          <w:bCs/>
          <w:color w:val="000000"/>
          <w:sz w:val="24"/>
          <w:szCs w:val="24"/>
        </w:rPr>
        <w:t>El servicio de actuaciones preventivas para familias con hijos o hijas menores en situación de riesgo</w:t>
      </w:r>
    </w:p>
    <w:p w14:paraId="412BDB2A" w14:textId="77777777" w:rsidR="00B018C2" w:rsidRPr="00253AF7" w:rsidRDefault="000F029F">
      <w:pPr>
        <w:numPr>
          <w:ilvl w:val="0"/>
          <w:numId w:val="1"/>
        </w:numPr>
        <w:pBdr>
          <w:top w:val="nil"/>
          <w:left w:val="nil"/>
          <w:bottom w:val="nil"/>
          <w:right w:val="nil"/>
          <w:between w:val="nil"/>
        </w:pBdr>
        <w:spacing w:after="0" w:line="276" w:lineRule="auto"/>
        <w:jc w:val="both"/>
        <w:rPr>
          <w:b/>
          <w:bCs/>
          <w:color w:val="000000"/>
          <w:sz w:val="24"/>
          <w:szCs w:val="24"/>
        </w:rPr>
      </w:pPr>
      <w:r w:rsidRPr="00253AF7">
        <w:rPr>
          <w:b/>
          <w:bCs/>
          <w:color w:val="000000"/>
          <w:sz w:val="24"/>
          <w:szCs w:val="24"/>
        </w:rPr>
        <w:t>El servicio de apoyo preventivo a la infancia y a la adolescencia en situación de riesgo</w:t>
      </w:r>
    </w:p>
    <w:p w14:paraId="4A839F57" w14:textId="77777777" w:rsidR="00B018C2" w:rsidRPr="00253AF7" w:rsidRDefault="000F029F">
      <w:pPr>
        <w:numPr>
          <w:ilvl w:val="0"/>
          <w:numId w:val="1"/>
        </w:numPr>
        <w:pBdr>
          <w:top w:val="nil"/>
          <w:left w:val="nil"/>
          <w:bottom w:val="nil"/>
          <w:right w:val="nil"/>
          <w:between w:val="nil"/>
        </w:pBdr>
        <w:spacing w:line="276" w:lineRule="auto"/>
        <w:jc w:val="both"/>
        <w:rPr>
          <w:b/>
          <w:bCs/>
          <w:color w:val="000000"/>
          <w:sz w:val="24"/>
          <w:szCs w:val="24"/>
        </w:rPr>
      </w:pPr>
      <w:r w:rsidRPr="00253AF7">
        <w:rPr>
          <w:b/>
          <w:bCs/>
          <w:color w:val="000000"/>
          <w:sz w:val="24"/>
          <w:szCs w:val="24"/>
        </w:rPr>
        <w:t>El servicio de apoyo familiar para la inclusión social</w:t>
      </w:r>
    </w:p>
    <w:p w14:paraId="3684B894" w14:textId="77777777" w:rsidR="00B018C2" w:rsidRDefault="000F029F">
      <w:pPr>
        <w:spacing w:line="276" w:lineRule="auto"/>
        <w:jc w:val="both"/>
        <w:rPr>
          <w:b/>
          <w:bCs/>
          <w:sz w:val="24"/>
          <w:szCs w:val="24"/>
        </w:rPr>
      </w:pPr>
      <w:r w:rsidRPr="00253AF7">
        <w:rPr>
          <w:b/>
          <w:bCs/>
          <w:color w:val="000000"/>
          <w:sz w:val="24"/>
          <w:szCs w:val="24"/>
        </w:rPr>
        <w:t>y se establezca cual va a ser la aportación a su financiación que va a realizar la comunidad autónoma</w:t>
      </w:r>
      <w:r w:rsidRPr="00253AF7">
        <w:rPr>
          <w:b/>
          <w:bCs/>
          <w:sz w:val="24"/>
          <w:szCs w:val="24"/>
        </w:rPr>
        <w:t xml:space="preserve">. </w:t>
      </w:r>
    </w:p>
    <w:p w14:paraId="637D60AE" w14:textId="77777777" w:rsidR="00B721C7" w:rsidRPr="00253AF7" w:rsidRDefault="00B721C7">
      <w:pPr>
        <w:spacing w:line="276" w:lineRule="auto"/>
        <w:jc w:val="both"/>
        <w:rPr>
          <w:b/>
          <w:bCs/>
          <w:color w:val="000000"/>
          <w:sz w:val="24"/>
          <w:szCs w:val="24"/>
        </w:rPr>
      </w:pPr>
    </w:p>
    <w:p w14:paraId="1CA9D5CB" w14:textId="77777777" w:rsidR="00B018C2" w:rsidRDefault="000F029F" w:rsidP="00026725">
      <w:pPr>
        <w:spacing w:line="276" w:lineRule="auto"/>
        <w:jc w:val="center"/>
      </w:pPr>
      <w:r>
        <w:t>3</w:t>
      </w:r>
    </w:p>
    <w:p w14:paraId="3A7B7FEC" w14:textId="77777777" w:rsidR="00B018C2" w:rsidRDefault="000F029F">
      <w:pPr>
        <w:spacing w:line="276" w:lineRule="auto"/>
        <w:jc w:val="both"/>
      </w:pPr>
      <w:r>
        <w:t xml:space="preserve">Para prevenir y combatir la pobreza infantil es necesario que el programa no se fundamente en la autocomplacencia y el continuismo. </w:t>
      </w:r>
    </w:p>
    <w:p w14:paraId="2EE75CE6" w14:textId="77777777" w:rsidR="00B018C2" w:rsidRDefault="000F029F">
      <w:pPr>
        <w:spacing w:line="276" w:lineRule="auto"/>
        <w:jc w:val="both"/>
        <w:rPr>
          <w:color w:val="000000"/>
          <w:sz w:val="24"/>
          <w:szCs w:val="24"/>
        </w:rPr>
      </w:pPr>
      <w:r>
        <w:t xml:space="preserve">El diagnóstico del apartado IV está más dirigido a anunciar que Castilla y León está mejor que España, lo que genera un pírrico consuelo porque en Castilla y León hay </w:t>
      </w:r>
      <w:r>
        <w:rPr>
          <w:color w:val="000000"/>
          <w:sz w:val="24"/>
          <w:szCs w:val="24"/>
        </w:rPr>
        <w:t xml:space="preserve">474.194 personas la que se encuentran </w:t>
      </w:r>
      <w:r>
        <w:t xml:space="preserve">en riesgo de exclusión y </w:t>
      </w:r>
      <w:r>
        <w:rPr>
          <w:color w:val="000000"/>
          <w:sz w:val="24"/>
          <w:szCs w:val="24"/>
        </w:rPr>
        <w:t>86.217 en situación de carencia material severa. Mientras que el volumen de las ayudas económicas de la Junta en 2020 sólo llegó a 32.311 personas y los alimentos a 29.203.</w:t>
      </w:r>
    </w:p>
    <w:p w14:paraId="7CE3A710" w14:textId="2311718A" w:rsidR="00B018C2" w:rsidRDefault="00026725">
      <w:pPr>
        <w:spacing w:line="276" w:lineRule="auto"/>
        <w:jc w:val="both"/>
      </w:pPr>
      <w:r>
        <w:t>Alegación 3</w:t>
      </w:r>
    </w:p>
    <w:p w14:paraId="3785E15F" w14:textId="77777777" w:rsidR="00253AF7" w:rsidRDefault="00253AF7" w:rsidP="00253AF7">
      <w:pPr>
        <w:spacing w:line="276" w:lineRule="auto"/>
        <w:jc w:val="both"/>
        <w:rPr>
          <w:rFonts w:eastAsia="Times New Roman"/>
          <w:b/>
          <w:bCs/>
          <w:sz w:val="24"/>
          <w:szCs w:val="24"/>
        </w:rPr>
      </w:pPr>
      <w:r w:rsidRPr="00253AF7">
        <w:rPr>
          <w:rFonts w:eastAsia="Times New Roman"/>
          <w:b/>
          <w:bCs/>
          <w:sz w:val="24"/>
          <w:szCs w:val="24"/>
        </w:rPr>
        <w:t xml:space="preserve">Que se lleve a cabo una buena explotación de datos del SAUSS (Sistema de Acceso Unificado a Usuarios de Servicios Sociales), estudiando no solo las demandas asistenciales sino también las respuestas y potencialidades  de mejora , realizando una valoración cualitativa que permita el poder implementar medidas eficaces para realmente paliar la pobreza infantil ( que no solo se refiere a sustento y necesidades materiales);  así como el elaborar un estudio de todas las corporaciones locales, dado que todas tienen la información homogenizada  por la utilización obligatoria del SAUSS,  pudiendo llegar a tener un mapa claro de las necesidades por poblaciones pudiéndose así establecer planificaciones adaptadas a cada territorio priorizándose así las actuaciones sobre pobreza infantil. </w:t>
      </w:r>
    </w:p>
    <w:p w14:paraId="6DB1E415" w14:textId="77777777" w:rsidR="00B721C7" w:rsidRPr="00253AF7" w:rsidRDefault="00B721C7" w:rsidP="00253AF7">
      <w:pPr>
        <w:spacing w:line="276" w:lineRule="auto"/>
        <w:jc w:val="both"/>
        <w:rPr>
          <w:rFonts w:eastAsia="Times New Roman"/>
          <w:b/>
          <w:bCs/>
          <w:sz w:val="24"/>
          <w:szCs w:val="24"/>
        </w:rPr>
      </w:pPr>
    </w:p>
    <w:p w14:paraId="70DB8EC1" w14:textId="77777777" w:rsidR="00B018C2" w:rsidRDefault="000F029F" w:rsidP="00026725">
      <w:pPr>
        <w:spacing w:line="276" w:lineRule="auto"/>
        <w:jc w:val="center"/>
        <w:rPr>
          <w:color w:val="000000"/>
          <w:sz w:val="24"/>
          <w:szCs w:val="24"/>
        </w:rPr>
      </w:pPr>
      <w:r>
        <w:rPr>
          <w:color w:val="000000"/>
          <w:sz w:val="24"/>
          <w:szCs w:val="24"/>
        </w:rPr>
        <w:t>4</w:t>
      </w:r>
    </w:p>
    <w:p w14:paraId="32007A26" w14:textId="77777777" w:rsidR="00B018C2" w:rsidRDefault="000F029F">
      <w:pPr>
        <w:spacing w:line="276" w:lineRule="auto"/>
        <w:jc w:val="both"/>
        <w:rPr>
          <w:color w:val="000000"/>
          <w:sz w:val="24"/>
          <w:szCs w:val="24"/>
        </w:rPr>
      </w:pPr>
      <w:r>
        <w:rPr>
          <w:color w:val="000000"/>
          <w:sz w:val="24"/>
          <w:szCs w:val="24"/>
        </w:rPr>
        <w:t xml:space="preserve"> En el diagnóstico se deben incluir información sobre aquellos ámbitos en los que hay que intervenir para prevenir y combatir la pobreza infantil, como son los centros </w:t>
      </w:r>
      <w:r>
        <w:rPr>
          <w:color w:val="000000"/>
          <w:sz w:val="24"/>
          <w:szCs w:val="24"/>
        </w:rPr>
        <w:lastRenderedPageBreak/>
        <w:t xml:space="preserve">escolares donde existe una gran concentración de </w:t>
      </w:r>
      <w:r w:rsidRPr="00A05A40">
        <w:rPr>
          <w:color w:val="000000"/>
          <w:sz w:val="24"/>
          <w:szCs w:val="24"/>
        </w:rPr>
        <w:t>alumnado e</w:t>
      </w:r>
      <w:r w:rsidRPr="00A05A40">
        <w:rPr>
          <w:sz w:val="24"/>
          <w:szCs w:val="24"/>
        </w:rPr>
        <w:t>n</w:t>
      </w:r>
      <w:r>
        <w:rPr>
          <w:color w:val="000000"/>
          <w:sz w:val="24"/>
          <w:szCs w:val="24"/>
        </w:rPr>
        <w:t xml:space="preserve"> situación de vulnerabilidad socioeducativa. </w:t>
      </w:r>
    </w:p>
    <w:p w14:paraId="575ADD58" w14:textId="770C1098" w:rsidR="00B018C2" w:rsidRDefault="00026725">
      <w:pPr>
        <w:spacing w:line="276" w:lineRule="auto"/>
        <w:jc w:val="both"/>
        <w:rPr>
          <w:color w:val="000000"/>
          <w:sz w:val="24"/>
          <w:szCs w:val="24"/>
        </w:rPr>
      </w:pPr>
      <w:r>
        <w:rPr>
          <w:color w:val="000000"/>
          <w:sz w:val="24"/>
          <w:szCs w:val="24"/>
        </w:rPr>
        <w:t>Alegación 4</w:t>
      </w:r>
    </w:p>
    <w:p w14:paraId="53EA5521" w14:textId="77777777" w:rsidR="00B018C2" w:rsidRPr="00026725" w:rsidRDefault="000F029F">
      <w:pPr>
        <w:spacing w:line="276" w:lineRule="auto"/>
        <w:jc w:val="both"/>
        <w:rPr>
          <w:b/>
          <w:bCs/>
          <w:sz w:val="24"/>
          <w:szCs w:val="24"/>
        </w:rPr>
      </w:pPr>
      <w:r w:rsidRPr="00026725">
        <w:rPr>
          <w:b/>
          <w:bCs/>
          <w:sz w:val="24"/>
          <w:szCs w:val="24"/>
        </w:rPr>
        <w:t xml:space="preserve">Incluir en el diagnóstico la relación de centros escolares donde más del 30 por ciento del alumnado se encuentra en situación de vulnerabilidad socioeducativa, por estar considerados alumnados con necesidad de compensación educativa o bajo rendimiento académico. </w:t>
      </w:r>
    </w:p>
    <w:p w14:paraId="5FD0BCDC" w14:textId="77777777" w:rsidR="00B018C2" w:rsidRDefault="00B018C2">
      <w:pPr>
        <w:spacing w:line="276" w:lineRule="auto"/>
        <w:jc w:val="both"/>
        <w:rPr>
          <w:color w:val="000000"/>
          <w:sz w:val="24"/>
          <w:szCs w:val="24"/>
        </w:rPr>
      </w:pPr>
    </w:p>
    <w:p w14:paraId="65EA3702" w14:textId="77777777" w:rsidR="00B018C2" w:rsidRDefault="000F029F" w:rsidP="000F0C67">
      <w:pPr>
        <w:spacing w:line="276" w:lineRule="auto"/>
        <w:jc w:val="center"/>
        <w:rPr>
          <w:color w:val="000000"/>
          <w:sz w:val="24"/>
          <w:szCs w:val="24"/>
        </w:rPr>
      </w:pPr>
      <w:r>
        <w:rPr>
          <w:color w:val="000000"/>
          <w:sz w:val="24"/>
          <w:szCs w:val="24"/>
        </w:rPr>
        <w:t>5</w:t>
      </w:r>
    </w:p>
    <w:p w14:paraId="654D47ED" w14:textId="77777777" w:rsidR="00B018C2" w:rsidRDefault="000F029F">
      <w:pPr>
        <w:spacing w:line="276" w:lineRule="auto"/>
        <w:jc w:val="both"/>
        <w:rPr>
          <w:color w:val="000000"/>
          <w:sz w:val="24"/>
          <w:szCs w:val="24"/>
        </w:rPr>
      </w:pPr>
      <w:r>
        <w:rPr>
          <w:color w:val="000000"/>
          <w:sz w:val="24"/>
          <w:szCs w:val="24"/>
        </w:rPr>
        <w:t>Los indicadores de evaluación de las medidas que se incluyen en el programa evidencian que con este no se pretende dar una respuesta integral a la erradicación de la pobreza infantil. Los indicadores que se establecen en el programa se basan en contabilizar el número de ayudas o de intervenciones y no en medir como repercuten éstas en lograr los objetivos que se establecen y por lo tanto como repercuten en el conjunto de la población a la que van destinadas.</w:t>
      </w:r>
    </w:p>
    <w:p w14:paraId="60CD4722" w14:textId="77777777" w:rsidR="00B018C2" w:rsidRDefault="000F029F">
      <w:pPr>
        <w:pBdr>
          <w:top w:val="nil"/>
          <w:left w:val="nil"/>
          <w:bottom w:val="nil"/>
          <w:right w:val="nil"/>
          <w:between w:val="nil"/>
        </w:pBdr>
        <w:spacing w:after="0" w:line="276" w:lineRule="auto"/>
        <w:jc w:val="both"/>
        <w:rPr>
          <w:color w:val="000000"/>
          <w:sz w:val="24"/>
          <w:szCs w:val="24"/>
        </w:rPr>
      </w:pPr>
      <w:r>
        <w:rPr>
          <w:color w:val="000000"/>
          <w:sz w:val="24"/>
          <w:szCs w:val="24"/>
        </w:rPr>
        <w:t>Tomado como ejemplo uno de los objetivos que se establecen: “</w:t>
      </w:r>
      <w:r>
        <w:rPr>
          <w:color w:val="000000"/>
          <w:sz w:val="23"/>
          <w:szCs w:val="23"/>
        </w:rPr>
        <w:t>Promover la continuidad de la educación y a la formación previniendo el fracaso o abandono escolar y aumentando los niveles de competencias”</w:t>
      </w:r>
    </w:p>
    <w:p w14:paraId="3E2EBCBE" w14:textId="77777777" w:rsidR="00B018C2" w:rsidRDefault="00B018C2">
      <w:pPr>
        <w:pBdr>
          <w:top w:val="nil"/>
          <w:left w:val="nil"/>
          <w:bottom w:val="nil"/>
          <w:right w:val="nil"/>
          <w:between w:val="nil"/>
        </w:pBdr>
        <w:spacing w:after="0" w:line="276" w:lineRule="auto"/>
        <w:jc w:val="both"/>
        <w:rPr>
          <w:color w:val="000000"/>
          <w:sz w:val="24"/>
          <w:szCs w:val="24"/>
        </w:rPr>
      </w:pPr>
    </w:p>
    <w:p w14:paraId="220B9340" w14:textId="77777777" w:rsidR="00B018C2" w:rsidRDefault="000F029F">
      <w:pPr>
        <w:pBdr>
          <w:top w:val="nil"/>
          <w:left w:val="nil"/>
          <w:bottom w:val="nil"/>
          <w:right w:val="nil"/>
          <w:between w:val="nil"/>
        </w:pBdr>
        <w:spacing w:after="0" w:line="276" w:lineRule="auto"/>
        <w:jc w:val="both"/>
        <w:rPr>
          <w:color w:val="000000"/>
          <w:sz w:val="23"/>
          <w:szCs w:val="23"/>
        </w:rPr>
      </w:pPr>
      <w:r>
        <w:rPr>
          <w:color w:val="000000"/>
          <w:sz w:val="24"/>
          <w:szCs w:val="24"/>
        </w:rPr>
        <w:t>Puesto que existe mayor riesgo de pobreza en la población con menor nivel de estudios, como queda reflejado en el diagnóstico del borrador de proyecto, es acertado que uno de los objetivos sea “</w:t>
      </w:r>
      <w:r>
        <w:rPr>
          <w:color w:val="000000"/>
          <w:sz w:val="23"/>
          <w:szCs w:val="23"/>
        </w:rPr>
        <w:t>Promover la continuidad de la educación y a la formación previniendo el fracaso o abandono escolar y aumentando los niveles de competencias”</w:t>
      </w:r>
      <w:r>
        <w:rPr>
          <w:color w:val="000000"/>
          <w:sz w:val="24"/>
          <w:szCs w:val="24"/>
        </w:rPr>
        <w:t xml:space="preserve">, </w:t>
      </w:r>
      <w:r>
        <w:rPr>
          <w:color w:val="000000"/>
          <w:sz w:val="23"/>
          <w:szCs w:val="23"/>
        </w:rPr>
        <w:t xml:space="preserve">cuando se establece los indicadores de las medidas que se plantean, para alcanzar este objetivo, </w:t>
      </w:r>
      <w:r w:rsidRPr="00A05A40">
        <w:rPr>
          <w:color w:val="000000"/>
          <w:sz w:val="23"/>
          <w:szCs w:val="23"/>
        </w:rPr>
        <w:t xml:space="preserve">estos </w:t>
      </w:r>
      <w:r w:rsidRPr="00A05A40">
        <w:rPr>
          <w:sz w:val="23"/>
          <w:szCs w:val="23"/>
        </w:rPr>
        <w:t>no</w:t>
      </w:r>
      <w:r w:rsidRPr="00A05A40">
        <w:rPr>
          <w:color w:val="000000"/>
          <w:sz w:val="23"/>
          <w:szCs w:val="23"/>
        </w:rPr>
        <w:t xml:space="preserve"> permiten saber si se está avanzando hacia la consecución de éste.</w:t>
      </w:r>
      <w:r>
        <w:rPr>
          <w:color w:val="000000"/>
          <w:sz w:val="23"/>
          <w:szCs w:val="23"/>
        </w:rPr>
        <w:t xml:space="preserve"> </w:t>
      </w:r>
    </w:p>
    <w:p w14:paraId="311CCA01" w14:textId="77777777" w:rsidR="00B018C2" w:rsidRDefault="00B018C2">
      <w:pPr>
        <w:pBdr>
          <w:top w:val="nil"/>
          <w:left w:val="nil"/>
          <w:bottom w:val="nil"/>
          <w:right w:val="nil"/>
          <w:between w:val="nil"/>
        </w:pBdr>
        <w:spacing w:after="0" w:line="276" w:lineRule="auto"/>
        <w:jc w:val="both"/>
        <w:rPr>
          <w:color w:val="000000"/>
          <w:sz w:val="23"/>
          <w:szCs w:val="23"/>
        </w:rPr>
      </w:pPr>
    </w:p>
    <w:tbl>
      <w:tblPr>
        <w:tblStyle w:val="a"/>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7"/>
        <w:gridCol w:w="4247"/>
      </w:tblGrid>
      <w:tr w:rsidR="00B018C2" w14:paraId="2C13D11B" w14:textId="77777777">
        <w:tc>
          <w:tcPr>
            <w:tcW w:w="4247" w:type="dxa"/>
          </w:tcPr>
          <w:p w14:paraId="387E5457" w14:textId="77777777" w:rsidR="00B018C2" w:rsidRDefault="000F029F">
            <w:pPr>
              <w:pBdr>
                <w:top w:val="nil"/>
                <w:left w:val="nil"/>
                <w:bottom w:val="nil"/>
                <w:right w:val="nil"/>
                <w:between w:val="nil"/>
              </w:pBdr>
              <w:spacing w:line="276" w:lineRule="auto"/>
              <w:jc w:val="both"/>
              <w:rPr>
                <w:color w:val="000000"/>
                <w:sz w:val="23"/>
                <w:szCs w:val="23"/>
              </w:rPr>
            </w:pPr>
            <w:r>
              <w:rPr>
                <w:color w:val="000000"/>
                <w:sz w:val="23"/>
                <w:szCs w:val="23"/>
              </w:rPr>
              <w:t>Garantizar en todas las provincias recursos suficientes de acompañamiento y mejora para el alumnado de educación secundaria en situación de vulnerabilidad socio educativa</w:t>
            </w:r>
          </w:p>
        </w:tc>
        <w:tc>
          <w:tcPr>
            <w:tcW w:w="4247" w:type="dxa"/>
          </w:tcPr>
          <w:p w14:paraId="61766E7C" w14:textId="77777777" w:rsidR="00B018C2" w:rsidRDefault="000F029F">
            <w:pPr>
              <w:pBdr>
                <w:top w:val="nil"/>
                <w:left w:val="nil"/>
                <w:bottom w:val="nil"/>
                <w:right w:val="nil"/>
                <w:between w:val="nil"/>
              </w:pBdr>
              <w:spacing w:line="276" w:lineRule="auto"/>
              <w:jc w:val="both"/>
              <w:rPr>
                <w:color w:val="000000"/>
                <w:sz w:val="23"/>
                <w:szCs w:val="23"/>
              </w:rPr>
            </w:pPr>
            <w:r>
              <w:rPr>
                <w:color w:val="000000"/>
                <w:sz w:val="23"/>
                <w:szCs w:val="23"/>
              </w:rPr>
              <w:t xml:space="preserve">N.º de Servicios de Orientación y de Unidades de Acompañamiento y Orientación en cada una de las provincias de nuestra comunidad. </w:t>
            </w:r>
          </w:p>
          <w:p w14:paraId="177985EF" w14:textId="77777777" w:rsidR="00B018C2" w:rsidRDefault="000F029F">
            <w:pPr>
              <w:pBdr>
                <w:top w:val="nil"/>
                <w:left w:val="nil"/>
                <w:bottom w:val="nil"/>
                <w:right w:val="nil"/>
                <w:between w:val="nil"/>
              </w:pBdr>
              <w:spacing w:line="276" w:lineRule="auto"/>
              <w:jc w:val="both"/>
              <w:rPr>
                <w:color w:val="000000"/>
                <w:sz w:val="23"/>
                <w:szCs w:val="23"/>
              </w:rPr>
            </w:pPr>
            <w:r>
              <w:rPr>
                <w:color w:val="000000"/>
                <w:sz w:val="23"/>
                <w:szCs w:val="23"/>
              </w:rPr>
              <w:t xml:space="preserve">N.º de reuniones de coordinación entre los Servicios de Orientación que atienden los centros de Educación Secundaria y los Servicios Sociales de las entidades locales. </w:t>
            </w:r>
          </w:p>
        </w:tc>
      </w:tr>
    </w:tbl>
    <w:p w14:paraId="0F49C3E4" w14:textId="77777777" w:rsidR="00B018C2" w:rsidRDefault="00B018C2" w:rsidP="00196C4F">
      <w:pPr>
        <w:pBdr>
          <w:top w:val="nil"/>
          <w:left w:val="nil"/>
          <w:bottom w:val="nil"/>
          <w:right w:val="nil"/>
          <w:between w:val="nil"/>
        </w:pBdr>
        <w:spacing w:after="0" w:line="276" w:lineRule="auto"/>
        <w:jc w:val="both"/>
        <w:rPr>
          <w:color w:val="000000"/>
          <w:sz w:val="23"/>
          <w:szCs w:val="23"/>
        </w:rPr>
      </w:pPr>
    </w:p>
    <w:p w14:paraId="1BECB575" w14:textId="77777777" w:rsidR="00B018C2" w:rsidRDefault="00B018C2" w:rsidP="00196C4F">
      <w:pPr>
        <w:pBdr>
          <w:top w:val="nil"/>
          <w:left w:val="nil"/>
          <w:bottom w:val="nil"/>
          <w:right w:val="nil"/>
          <w:between w:val="nil"/>
        </w:pBdr>
        <w:spacing w:after="0" w:line="276" w:lineRule="auto"/>
        <w:jc w:val="both"/>
        <w:rPr>
          <w:color w:val="000000"/>
          <w:sz w:val="24"/>
          <w:szCs w:val="24"/>
        </w:rPr>
      </w:pPr>
    </w:p>
    <w:p w14:paraId="62FA02BF" w14:textId="77777777" w:rsidR="00B018C2" w:rsidRDefault="000F029F" w:rsidP="00196C4F">
      <w:pPr>
        <w:pBdr>
          <w:top w:val="nil"/>
          <w:left w:val="nil"/>
          <w:bottom w:val="nil"/>
          <w:right w:val="nil"/>
          <w:between w:val="nil"/>
        </w:pBdr>
        <w:spacing w:after="0" w:line="276" w:lineRule="auto"/>
        <w:jc w:val="both"/>
        <w:rPr>
          <w:color w:val="000000"/>
          <w:sz w:val="23"/>
          <w:szCs w:val="23"/>
        </w:rPr>
      </w:pPr>
      <w:r>
        <w:rPr>
          <w:color w:val="000000"/>
          <w:sz w:val="24"/>
          <w:szCs w:val="24"/>
        </w:rPr>
        <w:t>En este caso en el diagnóstico debe incluirse la información d</w:t>
      </w:r>
      <w:r>
        <w:rPr>
          <w:color w:val="000000"/>
          <w:sz w:val="23"/>
          <w:szCs w:val="23"/>
        </w:rPr>
        <w:t xml:space="preserve">el volumen de jóvenes que han abandonado los estudios y en los indicadores deberían permitir conocer como se ha reducido su número. </w:t>
      </w:r>
    </w:p>
    <w:p w14:paraId="2C4850E6" w14:textId="77777777" w:rsidR="00B018C2" w:rsidRDefault="00B018C2" w:rsidP="00196C4F">
      <w:pPr>
        <w:pBdr>
          <w:top w:val="nil"/>
          <w:left w:val="nil"/>
          <w:bottom w:val="nil"/>
          <w:right w:val="nil"/>
          <w:between w:val="nil"/>
        </w:pBdr>
        <w:spacing w:after="0" w:line="276" w:lineRule="auto"/>
        <w:jc w:val="both"/>
        <w:rPr>
          <w:color w:val="000000"/>
          <w:sz w:val="23"/>
          <w:szCs w:val="23"/>
        </w:rPr>
      </w:pPr>
    </w:p>
    <w:p w14:paraId="6D545687" w14:textId="05AC1652" w:rsidR="00B018C2" w:rsidRDefault="000F0C67" w:rsidP="00196C4F">
      <w:pPr>
        <w:pBdr>
          <w:top w:val="nil"/>
          <w:left w:val="nil"/>
          <w:bottom w:val="nil"/>
          <w:right w:val="nil"/>
          <w:between w:val="nil"/>
        </w:pBdr>
        <w:spacing w:after="0" w:line="276" w:lineRule="auto"/>
        <w:jc w:val="both"/>
        <w:rPr>
          <w:color w:val="000000"/>
          <w:sz w:val="23"/>
          <w:szCs w:val="23"/>
        </w:rPr>
      </w:pPr>
      <w:r>
        <w:rPr>
          <w:color w:val="000000"/>
          <w:sz w:val="23"/>
          <w:szCs w:val="23"/>
        </w:rPr>
        <w:t>Alegación 5</w:t>
      </w:r>
    </w:p>
    <w:p w14:paraId="5788641D" w14:textId="77777777" w:rsidR="00B018C2" w:rsidRPr="00196C4F" w:rsidRDefault="000F029F">
      <w:pPr>
        <w:spacing w:line="276" w:lineRule="auto"/>
        <w:jc w:val="both"/>
        <w:rPr>
          <w:b/>
          <w:bCs/>
          <w:color w:val="000000"/>
          <w:sz w:val="24"/>
          <w:szCs w:val="24"/>
        </w:rPr>
      </w:pPr>
      <w:r w:rsidRPr="00196C4F">
        <w:rPr>
          <w:b/>
          <w:bCs/>
          <w:sz w:val="23"/>
          <w:szCs w:val="23"/>
        </w:rPr>
        <w:t>Los indicadores de evaluación que se establezcan deben servir para medir como se está avanzando en la consecución de los objetivos que se plantean.</w:t>
      </w:r>
    </w:p>
    <w:p w14:paraId="26759C1B" w14:textId="77777777" w:rsidR="00B018C2" w:rsidRDefault="00B018C2">
      <w:pPr>
        <w:spacing w:line="276" w:lineRule="auto"/>
        <w:jc w:val="both"/>
        <w:rPr>
          <w:color w:val="000000"/>
          <w:sz w:val="24"/>
          <w:szCs w:val="24"/>
        </w:rPr>
      </w:pPr>
    </w:p>
    <w:p w14:paraId="08F27D0C" w14:textId="466FEA3F" w:rsidR="00B018C2" w:rsidRDefault="000F029F" w:rsidP="00196C4F">
      <w:pPr>
        <w:spacing w:line="276" w:lineRule="auto"/>
        <w:jc w:val="center"/>
        <w:rPr>
          <w:color w:val="000000"/>
          <w:sz w:val="24"/>
          <w:szCs w:val="24"/>
        </w:rPr>
      </w:pPr>
      <w:r>
        <w:rPr>
          <w:color w:val="000000"/>
          <w:sz w:val="24"/>
          <w:szCs w:val="24"/>
        </w:rPr>
        <w:t>6</w:t>
      </w:r>
    </w:p>
    <w:p w14:paraId="59B3E28A" w14:textId="77777777" w:rsidR="00B018C2" w:rsidRDefault="000F029F">
      <w:pPr>
        <w:spacing w:line="276" w:lineRule="auto"/>
        <w:jc w:val="both"/>
        <w:rPr>
          <w:color w:val="000000"/>
          <w:sz w:val="24"/>
          <w:szCs w:val="24"/>
        </w:rPr>
      </w:pPr>
      <w:r>
        <w:rPr>
          <w:color w:val="000000"/>
          <w:sz w:val="24"/>
          <w:szCs w:val="24"/>
        </w:rPr>
        <w:t xml:space="preserve">Aun cuando la consejera de Familia ha anunciado que se destinaran 60 millones de euros al año para el desarrollo del programa. En el borrador no figura cantidad alguna. </w:t>
      </w:r>
    </w:p>
    <w:p w14:paraId="6506B647" w14:textId="0E5D57D0" w:rsidR="00B018C2" w:rsidRDefault="00196C4F">
      <w:pPr>
        <w:spacing w:line="276" w:lineRule="auto"/>
        <w:jc w:val="both"/>
        <w:rPr>
          <w:color w:val="000000"/>
          <w:sz w:val="24"/>
          <w:szCs w:val="24"/>
        </w:rPr>
      </w:pPr>
      <w:r>
        <w:rPr>
          <w:color w:val="000000"/>
          <w:sz w:val="24"/>
          <w:szCs w:val="24"/>
        </w:rPr>
        <w:t>Alegación 6</w:t>
      </w:r>
    </w:p>
    <w:p w14:paraId="4D8B9C15" w14:textId="77777777" w:rsidR="00B018C2" w:rsidRPr="00196C4F" w:rsidRDefault="000F029F">
      <w:pPr>
        <w:spacing w:line="276" w:lineRule="auto"/>
        <w:jc w:val="both"/>
        <w:rPr>
          <w:b/>
          <w:bCs/>
          <w:color w:val="000000"/>
          <w:sz w:val="24"/>
          <w:szCs w:val="24"/>
        </w:rPr>
      </w:pPr>
      <w:r w:rsidRPr="00196C4F">
        <w:rPr>
          <w:b/>
          <w:bCs/>
          <w:color w:val="000000"/>
          <w:sz w:val="24"/>
          <w:szCs w:val="24"/>
        </w:rPr>
        <w:t>Cada medida que se incluya en el programa debe ir acompañada del presupuesto específico que se le va a asignar.</w:t>
      </w:r>
    </w:p>
    <w:p w14:paraId="7FEFA6BE" w14:textId="77777777" w:rsidR="00B018C2" w:rsidRDefault="00B018C2">
      <w:pPr>
        <w:spacing w:line="276" w:lineRule="auto"/>
        <w:jc w:val="both"/>
        <w:rPr>
          <w:color w:val="000000"/>
          <w:sz w:val="24"/>
          <w:szCs w:val="24"/>
        </w:rPr>
      </w:pPr>
    </w:p>
    <w:p w14:paraId="27DCD46A" w14:textId="77777777" w:rsidR="00B018C2" w:rsidRDefault="000F029F" w:rsidP="00541B95">
      <w:pPr>
        <w:spacing w:line="276" w:lineRule="auto"/>
        <w:jc w:val="center"/>
        <w:rPr>
          <w:color w:val="000000"/>
          <w:sz w:val="24"/>
          <w:szCs w:val="24"/>
        </w:rPr>
      </w:pPr>
      <w:r>
        <w:rPr>
          <w:color w:val="000000"/>
          <w:sz w:val="24"/>
          <w:szCs w:val="24"/>
        </w:rPr>
        <w:t>7</w:t>
      </w:r>
    </w:p>
    <w:p w14:paraId="5DCDB70E" w14:textId="77777777" w:rsidR="00B018C2" w:rsidRDefault="000F029F">
      <w:pPr>
        <w:spacing w:line="276" w:lineRule="auto"/>
        <w:jc w:val="both"/>
        <w:rPr>
          <w:color w:val="000000"/>
          <w:sz w:val="24"/>
          <w:szCs w:val="24"/>
        </w:rPr>
      </w:pPr>
      <w:r>
        <w:rPr>
          <w:color w:val="000000"/>
          <w:sz w:val="24"/>
          <w:szCs w:val="24"/>
        </w:rPr>
        <w:t xml:space="preserve">El programa no define ni quien, dónde y cuándo se va a desarrollar cada una de las medidas. </w:t>
      </w:r>
    </w:p>
    <w:p w14:paraId="37F4780B" w14:textId="1DDC9CA2" w:rsidR="00B018C2" w:rsidRDefault="00541B95">
      <w:pPr>
        <w:spacing w:line="276" w:lineRule="auto"/>
        <w:jc w:val="both"/>
        <w:rPr>
          <w:color w:val="000000"/>
          <w:sz w:val="24"/>
          <w:szCs w:val="24"/>
        </w:rPr>
      </w:pPr>
      <w:r>
        <w:rPr>
          <w:color w:val="000000"/>
          <w:sz w:val="24"/>
          <w:szCs w:val="24"/>
        </w:rPr>
        <w:t>Alegación 7</w:t>
      </w:r>
    </w:p>
    <w:p w14:paraId="38ADFD50" w14:textId="6951CA5E" w:rsidR="00B018C2" w:rsidRPr="00541B95" w:rsidRDefault="000F029F">
      <w:pPr>
        <w:spacing w:line="276" w:lineRule="auto"/>
        <w:jc w:val="both"/>
        <w:rPr>
          <w:b/>
          <w:bCs/>
          <w:color w:val="000000"/>
          <w:sz w:val="24"/>
          <w:szCs w:val="24"/>
        </w:rPr>
      </w:pPr>
      <w:r w:rsidRPr="00541B95">
        <w:rPr>
          <w:b/>
          <w:bCs/>
          <w:color w:val="000000"/>
          <w:sz w:val="24"/>
          <w:szCs w:val="24"/>
        </w:rPr>
        <w:t xml:space="preserve">Cada medida debe ir acompañada de quien la va a desarrollar (administración autonómica, administración local o entidad sin ánimo de lucro), el ámbito dónde se va a desarrollar la intervención y la temporalización para desarrollarla. </w:t>
      </w:r>
    </w:p>
    <w:p w14:paraId="2E81A296" w14:textId="77777777" w:rsidR="00541B95" w:rsidRDefault="00541B95">
      <w:pPr>
        <w:spacing w:line="276" w:lineRule="auto"/>
        <w:jc w:val="both"/>
        <w:rPr>
          <w:color w:val="000000"/>
          <w:sz w:val="24"/>
          <w:szCs w:val="24"/>
        </w:rPr>
      </w:pPr>
    </w:p>
    <w:p w14:paraId="05DBAC33" w14:textId="3371C43A" w:rsidR="00B018C2" w:rsidRDefault="000F029F" w:rsidP="00541B95">
      <w:pPr>
        <w:spacing w:line="276" w:lineRule="auto"/>
        <w:jc w:val="center"/>
        <w:rPr>
          <w:color w:val="000000"/>
          <w:sz w:val="24"/>
          <w:szCs w:val="24"/>
        </w:rPr>
      </w:pPr>
      <w:r>
        <w:rPr>
          <w:color w:val="000000"/>
          <w:sz w:val="24"/>
          <w:szCs w:val="24"/>
        </w:rPr>
        <w:t>8</w:t>
      </w:r>
    </w:p>
    <w:p w14:paraId="5769D49A" w14:textId="77777777" w:rsidR="00B018C2" w:rsidRDefault="000F029F">
      <w:pPr>
        <w:spacing w:line="276" w:lineRule="auto"/>
        <w:jc w:val="both"/>
        <w:rPr>
          <w:color w:val="000000"/>
          <w:sz w:val="24"/>
          <w:szCs w:val="24"/>
        </w:rPr>
      </w:pPr>
      <w:r>
        <w:rPr>
          <w:color w:val="000000"/>
          <w:sz w:val="24"/>
          <w:szCs w:val="24"/>
        </w:rPr>
        <w:t xml:space="preserve">Para prevenir y combatir la pobreza infantil es necesario actuar en los tres ámbitos fundamentales donde se desarrolla la vida de los menores: La familia, la escuela y el ocio (la calle). </w:t>
      </w:r>
    </w:p>
    <w:p w14:paraId="4F0E56F0" w14:textId="77777777" w:rsidR="001A4DFA" w:rsidRPr="001A4DFA" w:rsidRDefault="001A4DFA" w:rsidP="001A4DFA">
      <w:pPr>
        <w:spacing w:line="276" w:lineRule="auto"/>
        <w:jc w:val="both"/>
        <w:rPr>
          <w:rFonts w:eastAsia="Times New Roman"/>
          <w:sz w:val="24"/>
          <w:szCs w:val="24"/>
        </w:rPr>
      </w:pPr>
      <w:r w:rsidRPr="001A4DFA">
        <w:rPr>
          <w:rFonts w:eastAsia="Times New Roman"/>
          <w:sz w:val="24"/>
          <w:szCs w:val="24"/>
        </w:rPr>
        <w:t>La intervención de los servicios sociales debe desarrollarse con la familia y el ocio de los menores, realizándolo a través de una intervención comunitaria y proyectos socioeducativos, con el objetivo de lograr la normalización del desarrollo del menor, a través la implicación de la familia, la educación no formal, y en coordinación de la educación reglada.</w:t>
      </w:r>
    </w:p>
    <w:p w14:paraId="742A062F" w14:textId="51D092FF" w:rsidR="001A4DFA" w:rsidRPr="001A4DFA" w:rsidRDefault="001A4DFA" w:rsidP="001A4DFA">
      <w:pPr>
        <w:spacing w:line="276" w:lineRule="auto"/>
        <w:jc w:val="both"/>
        <w:rPr>
          <w:rFonts w:eastAsia="Times New Roman"/>
          <w:sz w:val="24"/>
          <w:szCs w:val="24"/>
        </w:rPr>
      </w:pPr>
      <w:r w:rsidRPr="001A4DFA">
        <w:rPr>
          <w:rFonts w:eastAsia="Times New Roman"/>
          <w:sz w:val="24"/>
          <w:szCs w:val="24"/>
        </w:rPr>
        <w:t xml:space="preserve">El borrador de programa presenta un conjunto de medidas ya </w:t>
      </w:r>
      <w:r w:rsidRPr="001A4DFA">
        <w:rPr>
          <w:rFonts w:eastAsia="Times New Roman"/>
          <w:sz w:val="24"/>
          <w:szCs w:val="24"/>
        </w:rPr>
        <w:t>existentes,</w:t>
      </w:r>
      <w:r w:rsidRPr="001A4DFA">
        <w:rPr>
          <w:rFonts w:eastAsia="Times New Roman"/>
          <w:sz w:val="24"/>
          <w:szCs w:val="24"/>
        </w:rPr>
        <w:t xml:space="preserve"> que la mayoría de las cuales se basan en asistencialismo con ayudas individuales, que, siendo necesarias, no van a contribuir a ni a prevenir, ni a combatir la pobreza infantil. Para avanzar en ese fin es necesario desarrollar medidas dirigidas a la convivencia, la promoción y la inclusión de las familias y de los menores.</w:t>
      </w:r>
    </w:p>
    <w:p w14:paraId="1C14A93F" w14:textId="77777777" w:rsidR="00B018C2" w:rsidRDefault="000F029F">
      <w:pPr>
        <w:spacing w:line="276" w:lineRule="auto"/>
        <w:jc w:val="both"/>
        <w:rPr>
          <w:color w:val="000000"/>
          <w:sz w:val="24"/>
          <w:szCs w:val="24"/>
        </w:rPr>
      </w:pPr>
      <w:r>
        <w:rPr>
          <w:color w:val="000000"/>
          <w:sz w:val="24"/>
          <w:szCs w:val="24"/>
        </w:rPr>
        <w:lastRenderedPageBreak/>
        <w:t xml:space="preserve">Mientras exista segregación escolar es imposible poner fin a la pobreza infantil. La concentración de </w:t>
      </w:r>
      <w:proofErr w:type="gramStart"/>
      <w:r>
        <w:rPr>
          <w:color w:val="000000"/>
          <w:sz w:val="24"/>
          <w:szCs w:val="24"/>
        </w:rPr>
        <w:t>niños y niñas</w:t>
      </w:r>
      <w:proofErr w:type="gramEnd"/>
      <w:r>
        <w:rPr>
          <w:color w:val="000000"/>
          <w:sz w:val="24"/>
          <w:szCs w:val="24"/>
        </w:rPr>
        <w:t xml:space="preserve"> en los centros escolares en función su extracto social conduce a la transmisión generacional de la pobreza. Los centros educativos deben ser el lugar donde los menores se desarrollen conviviendo con otros </w:t>
      </w:r>
      <w:proofErr w:type="gramStart"/>
      <w:r>
        <w:rPr>
          <w:color w:val="000000"/>
          <w:sz w:val="24"/>
          <w:szCs w:val="24"/>
        </w:rPr>
        <w:t>niños y niñas</w:t>
      </w:r>
      <w:proofErr w:type="gramEnd"/>
      <w:r>
        <w:rPr>
          <w:color w:val="000000"/>
          <w:sz w:val="24"/>
          <w:szCs w:val="24"/>
        </w:rPr>
        <w:t xml:space="preserve"> de diferente situación social y económica. </w:t>
      </w:r>
    </w:p>
    <w:p w14:paraId="5FAD8577" w14:textId="77777777" w:rsidR="00B018C2" w:rsidRDefault="000F029F">
      <w:pPr>
        <w:spacing w:line="276" w:lineRule="auto"/>
        <w:jc w:val="both"/>
        <w:rPr>
          <w:color w:val="000000"/>
          <w:sz w:val="24"/>
          <w:szCs w:val="24"/>
        </w:rPr>
      </w:pPr>
      <w:r>
        <w:rPr>
          <w:color w:val="000000"/>
          <w:sz w:val="24"/>
          <w:szCs w:val="24"/>
        </w:rPr>
        <w:t xml:space="preserve">El desarrollo de hábitos saludables en los menores debe ser </w:t>
      </w:r>
      <w:proofErr w:type="gramStart"/>
      <w:r>
        <w:rPr>
          <w:color w:val="000000"/>
          <w:sz w:val="24"/>
          <w:szCs w:val="24"/>
        </w:rPr>
        <w:t>un objetivo a desarrollar</w:t>
      </w:r>
      <w:proofErr w:type="gramEnd"/>
      <w:r>
        <w:rPr>
          <w:color w:val="000000"/>
          <w:sz w:val="24"/>
          <w:szCs w:val="24"/>
        </w:rPr>
        <w:t xml:space="preserve">, para ello es fundamental el desarrollo de medidas con un </w:t>
      </w:r>
      <w:r>
        <w:rPr>
          <w:color w:val="202124"/>
          <w:sz w:val="24"/>
          <w:szCs w:val="24"/>
          <w:highlight w:val="white"/>
        </w:rPr>
        <w:t>enfoque integral en la atención de los problemas de salud de los individuos, su familia y la comunidad que les rodea.</w:t>
      </w:r>
      <w:r>
        <w:rPr>
          <w:color w:val="000000"/>
          <w:sz w:val="24"/>
          <w:szCs w:val="24"/>
        </w:rPr>
        <w:t xml:space="preserve"> </w:t>
      </w:r>
    </w:p>
    <w:p w14:paraId="5ECDFBDF" w14:textId="656EB24B" w:rsidR="00D55C30" w:rsidRDefault="00D55C30" w:rsidP="00D55C30">
      <w:pPr>
        <w:spacing w:line="276" w:lineRule="auto"/>
        <w:jc w:val="both"/>
        <w:rPr>
          <w:sz w:val="24"/>
          <w:szCs w:val="24"/>
        </w:rPr>
      </w:pPr>
      <w:r>
        <w:rPr>
          <w:rFonts w:eastAsia="Times New Roman"/>
          <w:color w:val="000000"/>
          <w:sz w:val="24"/>
          <w:szCs w:val="24"/>
        </w:rPr>
        <w:t xml:space="preserve">Para combatir la pobreza </w:t>
      </w:r>
      <w:r w:rsidRPr="00D55C30">
        <w:rPr>
          <w:rFonts w:eastAsia="Times New Roman"/>
          <w:sz w:val="24"/>
          <w:szCs w:val="24"/>
        </w:rPr>
        <w:t xml:space="preserve">infantil en la línea de la Agenda </w:t>
      </w:r>
      <w:r w:rsidRPr="00D55C30">
        <w:rPr>
          <w:rFonts w:eastAsia="Times New Roman"/>
          <w:sz w:val="24"/>
          <w:szCs w:val="24"/>
        </w:rPr>
        <w:t>2030,</w:t>
      </w:r>
      <w:r w:rsidRPr="00D55C30">
        <w:rPr>
          <w:rFonts w:eastAsia="Times New Roman"/>
          <w:sz w:val="24"/>
          <w:szCs w:val="24"/>
        </w:rPr>
        <w:t xml:space="preserve"> es necesario actuar sobre las zonas urbanas socialmente degradadas. Las Cortes </w:t>
      </w:r>
      <w:r>
        <w:rPr>
          <w:rFonts w:eastAsia="Times New Roman"/>
          <w:color w:val="000000"/>
          <w:sz w:val="24"/>
          <w:szCs w:val="24"/>
        </w:rPr>
        <w:t>de Castilla y León aprobaron por unanimidad de todos los grupos parlamentarios una proposición no de ley para que “</w:t>
      </w:r>
      <w:r w:rsidRPr="00F84F76">
        <w:rPr>
          <w:sz w:val="24"/>
          <w:szCs w:val="24"/>
        </w:rPr>
        <w:t>la Junta en coordinación con la Administración municipal favorezca planes para la dinamización de los entornos urbanos</w:t>
      </w:r>
      <w:r>
        <w:rPr>
          <w:sz w:val="24"/>
          <w:szCs w:val="24"/>
        </w:rPr>
        <w:t>, con especial atención aquellas zonas afectadas por la desigualdad económica”. El programa debe incluir entre sus medidas la aplicación del acuerdo del parlamento autonómico.</w:t>
      </w:r>
    </w:p>
    <w:p w14:paraId="7A948D93" w14:textId="26057E6E" w:rsidR="00B018C2" w:rsidRDefault="00541B95">
      <w:pPr>
        <w:spacing w:line="276" w:lineRule="auto"/>
        <w:jc w:val="both"/>
        <w:rPr>
          <w:sz w:val="24"/>
          <w:szCs w:val="24"/>
        </w:rPr>
      </w:pPr>
      <w:r>
        <w:rPr>
          <w:sz w:val="24"/>
          <w:szCs w:val="24"/>
        </w:rPr>
        <w:t xml:space="preserve">Alegación </w:t>
      </w:r>
      <w:r w:rsidR="00586846">
        <w:rPr>
          <w:sz w:val="24"/>
          <w:szCs w:val="24"/>
        </w:rPr>
        <w:t>8</w:t>
      </w:r>
    </w:p>
    <w:p w14:paraId="300847E0" w14:textId="77777777" w:rsidR="00B018C2" w:rsidRPr="00852771" w:rsidRDefault="000F029F">
      <w:pPr>
        <w:spacing w:line="276" w:lineRule="auto"/>
        <w:jc w:val="both"/>
        <w:rPr>
          <w:b/>
          <w:bCs/>
          <w:sz w:val="24"/>
          <w:szCs w:val="24"/>
        </w:rPr>
      </w:pPr>
      <w:r w:rsidRPr="00852771">
        <w:rPr>
          <w:b/>
          <w:bCs/>
          <w:sz w:val="24"/>
          <w:szCs w:val="24"/>
        </w:rPr>
        <w:t xml:space="preserve">En el área de servicios sociales: </w:t>
      </w:r>
    </w:p>
    <w:p w14:paraId="48BA1F70" w14:textId="77777777" w:rsidR="00B018C2" w:rsidRPr="00852771" w:rsidRDefault="000F029F">
      <w:pPr>
        <w:spacing w:line="276" w:lineRule="auto"/>
        <w:jc w:val="both"/>
        <w:rPr>
          <w:b/>
          <w:bCs/>
          <w:sz w:val="24"/>
          <w:szCs w:val="24"/>
        </w:rPr>
      </w:pPr>
      <w:r w:rsidRPr="00852771">
        <w:rPr>
          <w:b/>
          <w:bCs/>
          <w:sz w:val="24"/>
          <w:szCs w:val="24"/>
        </w:rPr>
        <w:t xml:space="preserve">el programa debe incluir medidas dirigidas al desarrollo de programas de intervención comunitaria y educación social, que tengan como objetivo lograr la convivencia, la promoción y la inclusión de las familias y los menores. </w:t>
      </w:r>
    </w:p>
    <w:p w14:paraId="2754D4F8" w14:textId="77777777" w:rsidR="00B018C2" w:rsidRPr="00852771" w:rsidRDefault="000F029F">
      <w:pPr>
        <w:spacing w:line="276" w:lineRule="auto"/>
        <w:jc w:val="both"/>
        <w:rPr>
          <w:b/>
          <w:bCs/>
          <w:sz w:val="24"/>
          <w:szCs w:val="24"/>
        </w:rPr>
      </w:pPr>
      <w:r w:rsidRPr="00852771">
        <w:rPr>
          <w:b/>
          <w:bCs/>
          <w:sz w:val="24"/>
          <w:szCs w:val="24"/>
        </w:rPr>
        <w:t xml:space="preserve">En el área de educación: </w:t>
      </w:r>
    </w:p>
    <w:p w14:paraId="7C7AFA4B" w14:textId="77777777" w:rsidR="00B018C2" w:rsidRPr="00852771" w:rsidRDefault="000F029F">
      <w:pPr>
        <w:spacing w:line="276" w:lineRule="auto"/>
        <w:jc w:val="both"/>
        <w:rPr>
          <w:b/>
          <w:bCs/>
          <w:sz w:val="24"/>
          <w:szCs w:val="24"/>
        </w:rPr>
      </w:pPr>
      <w:r w:rsidRPr="00852771">
        <w:rPr>
          <w:b/>
          <w:bCs/>
          <w:sz w:val="24"/>
          <w:szCs w:val="24"/>
        </w:rPr>
        <w:t>El programa debe concretar que acciones se van a desarrollar para lograr la erradicación de los centros escolares donde más del 30 por ciento del alumnado se encuentra en situación de vulnerabilidad socioeducativa.</w:t>
      </w:r>
    </w:p>
    <w:p w14:paraId="14E10509" w14:textId="77777777" w:rsidR="00B018C2" w:rsidRPr="00852771" w:rsidRDefault="000F029F">
      <w:pPr>
        <w:spacing w:line="276" w:lineRule="auto"/>
        <w:jc w:val="both"/>
        <w:rPr>
          <w:b/>
          <w:bCs/>
          <w:sz w:val="24"/>
          <w:szCs w:val="24"/>
        </w:rPr>
      </w:pPr>
      <w:r w:rsidRPr="00852771">
        <w:rPr>
          <w:b/>
          <w:bCs/>
          <w:sz w:val="24"/>
          <w:szCs w:val="24"/>
        </w:rPr>
        <w:t>El programa debe concretar las medidas que se van a desarrollar para lograr la erradicación del absentismo escolar</w:t>
      </w:r>
    </w:p>
    <w:p w14:paraId="178AF26E" w14:textId="77777777" w:rsidR="00B018C2" w:rsidRPr="00852771" w:rsidRDefault="000F029F">
      <w:pPr>
        <w:spacing w:line="276" w:lineRule="auto"/>
        <w:jc w:val="both"/>
        <w:rPr>
          <w:b/>
          <w:bCs/>
          <w:sz w:val="24"/>
          <w:szCs w:val="24"/>
        </w:rPr>
      </w:pPr>
      <w:r w:rsidRPr="00852771">
        <w:rPr>
          <w:b/>
          <w:bCs/>
          <w:sz w:val="24"/>
          <w:szCs w:val="24"/>
        </w:rPr>
        <w:t xml:space="preserve">En el área de salud: </w:t>
      </w:r>
    </w:p>
    <w:p w14:paraId="4883165D" w14:textId="77777777" w:rsidR="00B018C2" w:rsidRPr="00852771" w:rsidRDefault="000F029F">
      <w:pPr>
        <w:spacing w:line="276" w:lineRule="auto"/>
        <w:jc w:val="both"/>
        <w:rPr>
          <w:b/>
          <w:bCs/>
          <w:sz w:val="24"/>
          <w:szCs w:val="24"/>
        </w:rPr>
      </w:pPr>
      <w:r w:rsidRPr="00852771">
        <w:rPr>
          <w:b/>
          <w:bCs/>
          <w:sz w:val="24"/>
          <w:szCs w:val="24"/>
        </w:rPr>
        <w:t>Deben desarrollarse medidas a través de la medicina familiar y comunitaria con un enfoque integral en la atención de los problemas de salud de los individuos, su familia y la comunidad que les rodea.</w:t>
      </w:r>
    </w:p>
    <w:p w14:paraId="67FDD4A9" w14:textId="77777777" w:rsidR="00B018C2" w:rsidRPr="00852771" w:rsidRDefault="000F029F">
      <w:pPr>
        <w:spacing w:line="276" w:lineRule="auto"/>
        <w:jc w:val="both"/>
        <w:rPr>
          <w:b/>
          <w:bCs/>
          <w:sz w:val="24"/>
          <w:szCs w:val="24"/>
        </w:rPr>
      </w:pPr>
      <w:r w:rsidRPr="00852771">
        <w:rPr>
          <w:b/>
          <w:bCs/>
          <w:sz w:val="24"/>
          <w:szCs w:val="24"/>
        </w:rPr>
        <w:t>En el área de vivienda:</w:t>
      </w:r>
    </w:p>
    <w:p w14:paraId="0FD4404C" w14:textId="77777777" w:rsidR="00B018C2" w:rsidRPr="00852771" w:rsidRDefault="000F029F">
      <w:pPr>
        <w:spacing w:line="276" w:lineRule="auto"/>
        <w:jc w:val="both"/>
        <w:rPr>
          <w:b/>
          <w:bCs/>
          <w:sz w:val="24"/>
          <w:szCs w:val="24"/>
        </w:rPr>
      </w:pPr>
      <w:r w:rsidRPr="00852771">
        <w:rPr>
          <w:b/>
          <w:bCs/>
          <w:sz w:val="24"/>
          <w:szCs w:val="24"/>
        </w:rPr>
        <w:t xml:space="preserve">El programa debe incluir las intervenciones específicas a desarrollar para dinamizar los entornos urbanos, con especial atención aquellas zonas afectadas por la desigualdad económica. </w:t>
      </w:r>
    </w:p>
    <w:sectPr w:rsidR="00B018C2" w:rsidRPr="00852771">
      <w:footerReference w:type="default" r:id="rId10"/>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9D4E4" w14:textId="77777777" w:rsidR="0066091D" w:rsidRDefault="0066091D">
      <w:pPr>
        <w:spacing w:after="0" w:line="240" w:lineRule="auto"/>
      </w:pPr>
      <w:r>
        <w:separator/>
      </w:r>
    </w:p>
  </w:endnote>
  <w:endnote w:type="continuationSeparator" w:id="0">
    <w:p w14:paraId="303C4B7F" w14:textId="77777777" w:rsidR="0066091D" w:rsidRDefault="00660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rPr>
      <w:id w:val="-913307977"/>
      <w:docPartObj>
        <w:docPartGallery w:val="Page Numbers (Bottom of Page)"/>
        <w:docPartUnique/>
      </w:docPartObj>
    </w:sdtPr>
    <w:sdtContent>
      <w:sdt>
        <w:sdtPr>
          <w:rPr>
            <w:rFonts w:asciiTheme="majorHAnsi" w:eastAsiaTheme="majorEastAsia" w:hAnsiTheme="majorHAnsi" w:cstheme="majorBidi"/>
          </w:rPr>
          <w:id w:val="1806425445"/>
        </w:sdtPr>
        <w:sdtContent>
          <w:p w14:paraId="59BE5459" w14:textId="58483291" w:rsidR="000B08B3" w:rsidRDefault="000B08B3">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38B991A9" wp14:editId="5E56A5F4">
                      <wp:simplePos x="0" y="0"/>
                      <wp:positionH relativeFrom="margin">
                        <wp:align>center</wp:align>
                      </wp:positionH>
                      <wp:positionV relativeFrom="bottomMargin">
                        <wp:align>center</wp:align>
                      </wp:positionV>
                      <wp:extent cx="626745" cy="626745"/>
                      <wp:effectExtent l="0" t="0" r="1905" b="1905"/>
                      <wp:wrapNone/>
                      <wp:docPr id="1"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215CF4B" w14:textId="77777777" w:rsidR="000B08B3" w:rsidRDefault="000B08B3">
                                  <w:pPr>
                                    <w:pStyle w:val="Piedepgina"/>
                                    <w:jc w:val="center"/>
                                    <w:rPr>
                                      <w:b/>
                                      <w:bCs/>
                                      <w:color w:val="FFFFFF" w:themeColor="background1"/>
                                      <w:sz w:val="32"/>
                                      <w:szCs w:val="32"/>
                                    </w:rPr>
                                  </w:pPr>
                                  <w:r>
                                    <w:fldChar w:fldCharType="begin"/>
                                  </w:r>
                                  <w:r>
                                    <w:instrText>PAGE    \* MERGEFORMAT</w:instrText>
                                  </w:r>
                                  <w:r>
                                    <w:fldChar w:fldCharType="separate"/>
                                  </w:r>
                                  <w:r>
                                    <w:rPr>
                                      <w:b/>
                                      <w:bCs/>
                                      <w:color w:val="FFFFFF" w:themeColor="background1"/>
                                      <w:sz w:val="32"/>
                                      <w:szCs w:val="32"/>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8B991A9" id="Elipse 1"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" fillcolor="#40618b" stroked="f">
                      <v:textbox>
                        <w:txbxContent>
                          <w:p w14:paraId="4215CF4B" w14:textId="77777777" w:rsidR="000B08B3" w:rsidRDefault="000B08B3">
                            <w:pPr>
                              <w:pStyle w:val="Piedepgina"/>
                              <w:jc w:val="center"/>
                              <w:rPr>
                                <w:b/>
                                <w:bCs/>
                                <w:color w:val="FFFFFF" w:themeColor="background1"/>
                                <w:sz w:val="32"/>
                                <w:szCs w:val="32"/>
                              </w:rPr>
                            </w:pPr>
                            <w:r>
                              <w:fldChar w:fldCharType="begin"/>
                            </w:r>
                            <w:r>
                              <w:instrText>PAGE    \* MERGEFORMAT</w:instrText>
                            </w:r>
                            <w:r>
                              <w:fldChar w:fldCharType="separate"/>
                            </w:r>
                            <w:r>
                              <w:rPr>
                                <w:b/>
                                <w:bCs/>
                                <w:color w:val="FFFFFF" w:themeColor="background1"/>
                                <w:sz w:val="32"/>
                                <w:szCs w:val="32"/>
                              </w:rPr>
                              <w:t>2</w:t>
                            </w:r>
                            <w:r>
                              <w:rPr>
                                <w:b/>
                                <w:bCs/>
                                <w:color w:val="FFFFFF" w:themeColor="background1"/>
                                <w:sz w:val="32"/>
                                <w:szCs w:val="32"/>
                              </w:rPr>
                              <w:fldChar w:fldCharType="end"/>
                            </w:r>
                          </w:p>
                        </w:txbxContent>
                      </v:textbox>
                      <w10:wrap anchorx="margin" anchory="margin"/>
                    </v:oval>
                  </w:pict>
                </mc:Fallback>
              </mc:AlternateContent>
            </w:r>
          </w:p>
        </w:sdtContent>
      </w:sdt>
    </w:sdtContent>
  </w:sdt>
  <w:p w14:paraId="2C37D356" w14:textId="77777777" w:rsidR="00B018C2" w:rsidRDefault="00B018C2">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7D050" w14:textId="77777777" w:rsidR="0066091D" w:rsidRDefault="0066091D">
      <w:pPr>
        <w:spacing w:after="0" w:line="240" w:lineRule="auto"/>
      </w:pPr>
      <w:r>
        <w:separator/>
      </w:r>
    </w:p>
  </w:footnote>
  <w:footnote w:type="continuationSeparator" w:id="0">
    <w:p w14:paraId="4E4A3E5D" w14:textId="77777777" w:rsidR="0066091D" w:rsidRDefault="006609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FC754E"/>
    <w:multiLevelType w:val="multilevel"/>
    <w:tmpl w:val="2AF8F1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8C2"/>
    <w:rsid w:val="000156FC"/>
    <w:rsid w:val="00024FDD"/>
    <w:rsid w:val="00026725"/>
    <w:rsid w:val="000B08B3"/>
    <w:rsid w:val="000F029F"/>
    <w:rsid w:val="000F0C67"/>
    <w:rsid w:val="00196C4F"/>
    <w:rsid w:val="001A4DFA"/>
    <w:rsid w:val="00253AF7"/>
    <w:rsid w:val="00480E80"/>
    <w:rsid w:val="00487628"/>
    <w:rsid w:val="004C25C2"/>
    <w:rsid w:val="00541B95"/>
    <w:rsid w:val="005867B1"/>
    <w:rsid w:val="00586846"/>
    <w:rsid w:val="005941C8"/>
    <w:rsid w:val="0066091D"/>
    <w:rsid w:val="007831AB"/>
    <w:rsid w:val="00852771"/>
    <w:rsid w:val="008D64F2"/>
    <w:rsid w:val="00A05A40"/>
    <w:rsid w:val="00B018C2"/>
    <w:rsid w:val="00B721C7"/>
    <w:rsid w:val="00D32310"/>
    <w:rsid w:val="00D51AAA"/>
    <w:rsid w:val="00D55C30"/>
    <w:rsid w:val="00F242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F55EE2"/>
  <w15:docId w15:val="{59F52389-6397-41FB-B0BF-850CB385E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Pa23">
    <w:name w:val="Pa23"/>
    <w:basedOn w:val="Normal"/>
    <w:next w:val="Normal"/>
    <w:uiPriority w:val="99"/>
    <w:rsid w:val="00105603"/>
    <w:pPr>
      <w:autoSpaceDE w:val="0"/>
      <w:autoSpaceDN w:val="0"/>
      <w:adjustRightInd w:val="0"/>
      <w:spacing w:after="0" w:line="241" w:lineRule="atLeast"/>
    </w:pPr>
    <w:rPr>
      <w:rFonts w:ascii="Arial" w:hAnsi="Arial" w:cs="Arial"/>
      <w:sz w:val="24"/>
      <w:szCs w:val="24"/>
    </w:rPr>
  </w:style>
  <w:style w:type="character" w:customStyle="1" w:styleId="A6">
    <w:name w:val="A6"/>
    <w:uiPriority w:val="99"/>
    <w:rsid w:val="00105603"/>
    <w:rPr>
      <w:b/>
      <w:bCs/>
      <w:color w:val="000000"/>
      <w:sz w:val="16"/>
      <w:szCs w:val="16"/>
    </w:rPr>
  </w:style>
  <w:style w:type="paragraph" w:customStyle="1" w:styleId="Default">
    <w:name w:val="Default"/>
    <w:rsid w:val="00FE7D4E"/>
    <w:pPr>
      <w:autoSpaceDE w:val="0"/>
      <w:autoSpaceDN w:val="0"/>
      <w:adjustRightInd w:val="0"/>
      <w:spacing w:after="0" w:line="240" w:lineRule="auto"/>
    </w:pPr>
    <w:rPr>
      <w:color w:val="000000"/>
      <w:sz w:val="24"/>
      <w:szCs w:val="24"/>
    </w:rPr>
  </w:style>
  <w:style w:type="table" w:styleId="Tablaconcuadrcula">
    <w:name w:val="Table Grid"/>
    <w:basedOn w:val="Tablanormal"/>
    <w:uiPriority w:val="39"/>
    <w:rsid w:val="00094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12D25"/>
    <w:pPr>
      <w:ind w:left="720"/>
      <w:contextualSpacing/>
    </w:pPr>
  </w:style>
  <w:style w:type="paragraph" w:styleId="Encabezado">
    <w:name w:val="header"/>
    <w:basedOn w:val="Normal"/>
    <w:link w:val="EncabezadoCar"/>
    <w:uiPriority w:val="99"/>
    <w:unhideWhenUsed/>
    <w:rsid w:val="008A2F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A2F9A"/>
  </w:style>
  <w:style w:type="paragraph" w:styleId="Piedepgina">
    <w:name w:val="footer"/>
    <w:basedOn w:val="Normal"/>
    <w:link w:val="PiedepginaCar"/>
    <w:uiPriority w:val="99"/>
    <w:unhideWhenUsed/>
    <w:rsid w:val="008A2F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A2F9A"/>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Oip2iZw7qZgFrClthekT2xUPQ==">AMUW2mUgUSRfOJzFH9DD0yvPhmjz44/mtxPybt/jHkKy+nTeaTqu92g7L3gC4GM0sf9hP/68fFlRig1YOe6I9+dD2OGrqkzxaw/g8vKYRuagGe34IlIPJQM=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1554</Words>
  <Characters>8549</Characters>
  <Application>Microsoft Office Word</Application>
  <DocSecurity>0</DocSecurity>
  <Lines>71</Lines>
  <Paragraphs>20</Paragraphs>
  <ScaleCrop>false</ScaleCrop>
  <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Felix Alonso</dc:creator>
  <cp:lastModifiedBy>Jorge Felix Alonso</cp:lastModifiedBy>
  <cp:revision>25</cp:revision>
  <dcterms:created xsi:type="dcterms:W3CDTF">2021-11-17T19:53:00Z</dcterms:created>
  <dcterms:modified xsi:type="dcterms:W3CDTF">2021-11-25T15:48:00Z</dcterms:modified>
</cp:coreProperties>
</file>