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DE9E" w14:textId="77777777" w:rsidR="00323C9D" w:rsidRDefault="00323C9D" w:rsidP="001F63D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3C9D">
        <w:rPr>
          <w:rFonts w:ascii="Arial" w:hAnsi="Arial" w:cs="Arial"/>
          <w:b/>
          <w:bCs/>
          <w:sz w:val="24"/>
          <w:szCs w:val="24"/>
        </w:rPr>
        <w:t>Aportaciones de la Asociación de Fabricantes Españoles de Lanas Minerales Aislantes (AFELMA) al Plan de Acción de Economía Circular 2023/2025 de Castilla y León</w:t>
      </w:r>
    </w:p>
    <w:p w14:paraId="15B32DB1" w14:textId="77777777" w:rsidR="00323C9D" w:rsidRPr="004C014F" w:rsidRDefault="00323C9D" w:rsidP="001F63DC">
      <w:pPr>
        <w:spacing w:line="276" w:lineRule="auto"/>
        <w:jc w:val="both"/>
        <w:rPr>
          <w:sz w:val="12"/>
          <w:szCs w:val="12"/>
        </w:rPr>
      </w:pPr>
    </w:p>
    <w:p w14:paraId="15EC8E0F" w14:textId="77777777" w:rsidR="00323C9D" w:rsidRDefault="00323C9D" w:rsidP="001F63DC">
      <w:pPr>
        <w:spacing w:line="276" w:lineRule="auto"/>
        <w:jc w:val="both"/>
      </w:pPr>
      <w:r>
        <w:t>AFELMA, la Asociación de Fabricantes Españoles de Lanas Minerales Aislantes creada en 1979 para dar a conocer la calidad de los productos de lana mineral hace llegar las siguientes aportaciones al Plan de Acción de Economía Circular</w:t>
      </w:r>
      <w:r w:rsidR="00DA42AA">
        <w:t xml:space="preserve"> </w:t>
      </w:r>
      <w:r w:rsidR="00DA42AA" w:rsidRPr="00DA42AA">
        <w:t>2023/2025</w:t>
      </w:r>
      <w:r>
        <w:t>:</w:t>
      </w:r>
    </w:p>
    <w:p w14:paraId="2F12961D" w14:textId="77777777" w:rsidR="00F24D72" w:rsidRPr="00F24D72" w:rsidRDefault="00F24D72" w:rsidP="001F63DC">
      <w:pPr>
        <w:spacing w:line="276" w:lineRule="auto"/>
        <w:jc w:val="both"/>
        <w:rPr>
          <w:sz w:val="12"/>
          <w:szCs w:val="12"/>
        </w:rPr>
      </w:pPr>
    </w:p>
    <w:p w14:paraId="7715A701" w14:textId="77777777" w:rsidR="00323C9D" w:rsidRDefault="0073497D" w:rsidP="001F63DC">
      <w:pPr>
        <w:spacing w:line="276" w:lineRule="auto"/>
        <w:jc w:val="both"/>
      </w:pPr>
      <w:r>
        <w:t xml:space="preserve">1. </w:t>
      </w:r>
      <w:proofErr w:type="gramStart"/>
      <w:r>
        <w:t>En relación a</w:t>
      </w:r>
      <w:proofErr w:type="gramEnd"/>
      <w:r>
        <w:t xml:space="preserve"> la </w:t>
      </w:r>
      <w:r w:rsidRPr="0073497D">
        <w:rPr>
          <w:b/>
          <w:bCs/>
        </w:rPr>
        <w:t>Medida C-16</w:t>
      </w:r>
      <w:r w:rsidR="009B08C2">
        <w:rPr>
          <w:b/>
          <w:bCs/>
        </w:rPr>
        <w:t>,</w:t>
      </w:r>
      <w:r>
        <w:t xml:space="preserve"> que hace referencia a criterios de economía circular en el ciclo de vida de la vivienda y los edificios:</w:t>
      </w:r>
    </w:p>
    <w:p w14:paraId="14B4D4B7" w14:textId="77777777" w:rsidR="00DA42AA" w:rsidRDefault="00DA42AA" w:rsidP="001F63DC">
      <w:pPr>
        <w:pStyle w:val="Prrafodelista"/>
        <w:numPr>
          <w:ilvl w:val="0"/>
          <w:numId w:val="5"/>
        </w:numPr>
        <w:spacing w:line="276" w:lineRule="auto"/>
        <w:jc w:val="both"/>
      </w:pPr>
      <w:r>
        <w:t xml:space="preserve">El sector de la construcción es responsable de más del 35 % de la generación total de residuos de la UE. Es clave establecer objetivos de recuperación de los residuos de construcción y demolición para aumentar la circularidad. Asimismo, debemos seguir avanzando hacia un </w:t>
      </w:r>
      <w:r w:rsidRPr="00F24D72">
        <w:rPr>
          <w:u w:val="single"/>
        </w:rPr>
        <w:t>modelo de construcción sostenible</w:t>
      </w:r>
      <w:r>
        <w:t xml:space="preserve"> que considere los impactos ambientales relacionados con todo el proceso de construcción del edificio, que engloba desde la fase de diseño y proyecto, a la fase de construcción, uso del edificio y hasta la posterior demolición y gestión de los residuos.</w:t>
      </w:r>
    </w:p>
    <w:p w14:paraId="785133FD" w14:textId="77777777" w:rsidR="00DA42AA" w:rsidRDefault="00DA42AA" w:rsidP="001F63DC">
      <w:pPr>
        <w:pStyle w:val="Prrafodelista"/>
        <w:numPr>
          <w:ilvl w:val="0"/>
          <w:numId w:val="5"/>
        </w:numPr>
        <w:spacing w:line="276" w:lineRule="auto"/>
        <w:jc w:val="both"/>
      </w:pPr>
      <w:r>
        <w:t>Las Administraciones Públicas deben favorecer materiales que, al igual que la lana mineral</w:t>
      </w:r>
      <w:r w:rsidR="00F24D72">
        <w:t xml:space="preserve">, </w:t>
      </w:r>
      <w:r w:rsidRPr="00F24D72">
        <w:rPr>
          <w:u w:val="single"/>
        </w:rPr>
        <w:t>integr</w:t>
      </w:r>
      <w:r w:rsidR="00F24D72" w:rsidRPr="00F24D72">
        <w:rPr>
          <w:u w:val="single"/>
        </w:rPr>
        <w:t>en</w:t>
      </w:r>
      <w:r w:rsidRPr="00F24D72">
        <w:rPr>
          <w:u w:val="single"/>
        </w:rPr>
        <w:t xml:space="preserve"> materiales reciclados, </w:t>
      </w:r>
      <w:r w:rsidR="00F24D72" w:rsidRPr="00F24D72">
        <w:rPr>
          <w:u w:val="single"/>
        </w:rPr>
        <w:t xml:space="preserve">sean </w:t>
      </w:r>
      <w:r w:rsidRPr="00F24D72">
        <w:rPr>
          <w:u w:val="single"/>
        </w:rPr>
        <w:t>reciclable</w:t>
      </w:r>
      <w:r w:rsidR="00F24D72" w:rsidRPr="00F24D72">
        <w:rPr>
          <w:u w:val="single"/>
        </w:rPr>
        <w:t>s</w:t>
      </w:r>
      <w:r>
        <w:t xml:space="preserve"> y libre</w:t>
      </w:r>
      <w:r w:rsidR="00F24D72">
        <w:t>s</w:t>
      </w:r>
      <w:r>
        <w:t xml:space="preserve"> de gases de efecto invernadero. </w:t>
      </w:r>
      <w:r w:rsidR="00F24D72">
        <w:t xml:space="preserve">La lana mineral </w:t>
      </w:r>
      <w:r>
        <w:t xml:space="preserve">es un material aislante duradero e inalterable durante periodos de vida útil superiores a los 50 años; y </w:t>
      </w:r>
      <w:r w:rsidR="00F24D72">
        <w:t>sus</w:t>
      </w:r>
      <w:r>
        <w:t xml:space="preserve"> residuos pueden ser reutilizados como </w:t>
      </w:r>
      <w:r w:rsidRPr="00F24D72">
        <w:rPr>
          <w:u w:val="single"/>
        </w:rPr>
        <w:t>materia prima de otros sectores</w:t>
      </w:r>
      <w:r>
        <w:t>, reduciendo la necesidad de materiales vírgenes.</w:t>
      </w:r>
    </w:p>
    <w:p w14:paraId="5E446400" w14:textId="77777777" w:rsidR="00F24D72" w:rsidRDefault="00F24D72" w:rsidP="001F63DC">
      <w:pPr>
        <w:spacing w:line="276" w:lineRule="auto"/>
        <w:jc w:val="both"/>
      </w:pPr>
    </w:p>
    <w:p w14:paraId="00BD2DD8" w14:textId="77777777" w:rsidR="00F24D72" w:rsidRDefault="00F24D72" w:rsidP="001F63DC">
      <w:pPr>
        <w:spacing w:line="276" w:lineRule="auto"/>
        <w:jc w:val="both"/>
        <w:rPr>
          <w:rFonts w:eastAsia="Times New Roman"/>
        </w:rPr>
      </w:pPr>
      <w:r>
        <w:t xml:space="preserve">2. Sobre la </w:t>
      </w:r>
      <w:r w:rsidRPr="00BB2AE9">
        <w:rPr>
          <w:b/>
          <w:bCs/>
        </w:rPr>
        <w:t>Medida I-3</w:t>
      </w:r>
      <w:r>
        <w:t xml:space="preserve">, que hace referencia a </w:t>
      </w:r>
      <w:r w:rsidRPr="00BB2AE9">
        <w:rPr>
          <w:rFonts w:eastAsia="Times New Roman"/>
        </w:rPr>
        <w:t>la certificación ambiental de los nuevos materiales y productos</w:t>
      </w:r>
      <w:r>
        <w:rPr>
          <w:rFonts w:eastAsia="Times New Roman"/>
        </w:rPr>
        <w:t>:</w:t>
      </w:r>
    </w:p>
    <w:p w14:paraId="749462C6" w14:textId="77777777" w:rsidR="00F24D72" w:rsidRDefault="00F24D72" w:rsidP="001F63DC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Las lanas minerales aportan todos los datos necesarios para poder evaluar ambientalmente el edificio en el que se incorporan. Cuentan con </w:t>
      </w:r>
      <w:r w:rsidRPr="00F24D72">
        <w:rPr>
          <w:u w:val="single"/>
        </w:rPr>
        <w:t>Declaraciones Ambientales de Producto (</w:t>
      </w:r>
      <w:proofErr w:type="spellStart"/>
      <w:r w:rsidRPr="00F24D72">
        <w:rPr>
          <w:u w:val="single"/>
        </w:rPr>
        <w:t>DAPs</w:t>
      </w:r>
      <w:proofErr w:type="spellEnd"/>
      <w:r w:rsidRPr="00F24D72">
        <w:rPr>
          <w:u w:val="single"/>
        </w:rPr>
        <w:t>)</w:t>
      </w:r>
      <w:r>
        <w:t xml:space="preserve"> en base a normas europeas, que proporcionan información para evaluar los impactos ambientales de los productos a lo largo de su ciclo de vida.</w:t>
      </w:r>
    </w:p>
    <w:p w14:paraId="7B9E45AE" w14:textId="77777777" w:rsidR="00F24D72" w:rsidRPr="00BB2AE9" w:rsidRDefault="00F24D72" w:rsidP="001F63DC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En el caso de los edificios, es fundamental que las Administraciones Públicas favorezcan la utilización de materiales que cuentan con </w:t>
      </w:r>
      <w:r w:rsidRPr="00F24D72">
        <w:rPr>
          <w:u w:val="single"/>
        </w:rPr>
        <w:t>certificaciones capaces de garantizar un buen rendimiento</w:t>
      </w:r>
      <w:r>
        <w:t xml:space="preserve"> en el aspecto medioambiental. Asimismo, se deberían publicar directrices o recomendaciones dirigidas al sector de la construcción en esta línea.</w:t>
      </w:r>
    </w:p>
    <w:p w14:paraId="01E4246B" w14:textId="77777777" w:rsidR="00BB2AE9" w:rsidRDefault="00BB2AE9" w:rsidP="001F63DC">
      <w:pPr>
        <w:spacing w:line="276" w:lineRule="auto"/>
        <w:jc w:val="both"/>
      </w:pPr>
    </w:p>
    <w:p w14:paraId="2855C842" w14:textId="77777777" w:rsidR="00BB2AE9" w:rsidRPr="00BB2AE9" w:rsidRDefault="00F24D72" w:rsidP="001F63DC">
      <w:pPr>
        <w:spacing w:line="276" w:lineRule="auto"/>
        <w:jc w:val="both"/>
      </w:pPr>
      <w:r>
        <w:t>3</w:t>
      </w:r>
      <w:r w:rsidR="00BB2AE9">
        <w:t xml:space="preserve">. Sobre la </w:t>
      </w:r>
      <w:r w:rsidR="00BB2AE9" w:rsidRPr="00BB2AE9">
        <w:rPr>
          <w:b/>
          <w:bCs/>
        </w:rPr>
        <w:t>Medida I-4</w:t>
      </w:r>
      <w:r w:rsidR="00BB2AE9">
        <w:rPr>
          <w:rFonts w:eastAsia="Times New Roman"/>
        </w:rPr>
        <w:t xml:space="preserve">, que menciona la </w:t>
      </w:r>
      <w:r w:rsidR="00BB2AE9" w:rsidRPr="00BB2AE9">
        <w:rPr>
          <w:rFonts w:eastAsia="Times New Roman"/>
        </w:rPr>
        <w:t>implantación de la metodología de Análisis de Ciclo de Vida de los productos, incluyendo los edificios</w:t>
      </w:r>
      <w:r w:rsidR="00BB2AE9">
        <w:rPr>
          <w:rFonts w:eastAsia="Times New Roman"/>
        </w:rPr>
        <w:t>:</w:t>
      </w:r>
    </w:p>
    <w:p w14:paraId="7DF045F8" w14:textId="77777777" w:rsidR="0073497D" w:rsidRDefault="00BB2AE9" w:rsidP="001F63DC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El sector de las lanas minerales, siguiendo los procedimientos técnicos normalizados de la UE, ha realizado estudios para comprobar el impacto ambiental de sus industrias y </w:t>
      </w:r>
      <w:r>
        <w:lastRenderedPageBreak/>
        <w:t xml:space="preserve">productos. Los resultados demuestran que la fabricación y uso de las lanas minerales tienen un </w:t>
      </w:r>
      <w:r w:rsidRPr="00F24D72">
        <w:rPr>
          <w:u w:val="single"/>
        </w:rPr>
        <w:t>impacto positivo según el Análisis del Ciclo de Vida</w:t>
      </w:r>
      <w:r>
        <w:t>; por tanto, una vez considerados los impactos debidos al uso como aislantes, el impacto resultante en todos y cada uno de los indicadores es beneficioso para el medioambiente.</w:t>
      </w:r>
    </w:p>
    <w:p w14:paraId="05B94291" w14:textId="77777777" w:rsidR="00BB2AE9" w:rsidRDefault="00BB2AE9" w:rsidP="001F63DC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Por ello, consideramos que las Administraciones Públicas, dentro de su papel ejemplarizante, deben </w:t>
      </w:r>
      <w:r w:rsidRPr="00F24D72">
        <w:rPr>
          <w:u w:val="single"/>
        </w:rPr>
        <w:t>promover la utilización de materiales</w:t>
      </w:r>
      <w:r>
        <w:t xml:space="preserve"> tanto en obra nueva como en rehabilitación que demuestren tener impacto positivo según el Análisis del Ciclo de Vida.</w:t>
      </w:r>
    </w:p>
    <w:p w14:paraId="2F3B77BD" w14:textId="77777777" w:rsidR="00323C9D" w:rsidRPr="004C014F" w:rsidRDefault="00323C9D" w:rsidP="001F63DC">
      <w:pPr>
        <w:spacing w:line="276" w:lineRule="auto"/>
        <w:jc w:val="both"/>
        <w:rPr>
          <w:rFonts w:eastAsia="Times New Roman"/>
        </w:rPr>
      </w:pPr>
    </w:p>
    <w:p w14:paraId="176D56F1" w14:textId="77777777" w:rsidR="00323C9D" w:rsidRDefault="004C014F" w:rsidP="001F63DC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Pr="004C014F">
        <w:rPr>
          <w:rFonts w:eastAsia="Times New Roman"/>
        </w:rPr>
        <w:t xml:space="preserve">Sobre las </w:t>
      </w:r>
      <w:r w:rsidR="00323C9D" w:rsidRPr="004C014F">
        <w:rPr>
          <w:rFonts w:eastAsia="Times New Roman"/>
          <w:b/>
          <w:bCs/>
        </w:rPr>
        <w:t>M</w:t>
      </w:r>
      <w:r w:rsidRPr="004C014F">
        <w:rPr>
          <w:rFonts w:eastAsia="Times New Roman"/>
          <w:b/>
          <w:bCs/>
        </w:rPr>
        <w:t>edidas</w:t>
      </w:r>
      <w:r w:rsidR="00323C9D" w:rsidRPr="004C014F">
        <w:rPr>
          <w:rFonts w:eastAsia="Times New Roman"/>
          <w:b/>
          <w:bCs/>
        </w:rPr>
        <w:t xml:space="preserve"> R-1</w:t>
      </w:r>
      <w:r>
        <w:rPr>
          <w:rFonts w:eastAsia="Times New Roman"/>
        </w:rPr>
        <w:t>,</w:t>
      </w:r>
      <w:r w:rsidR="00323C9D" w:rsidRPr="004C014F">
        <w:rPr>
          <w:rFonts w:eastAsia="Times New Roman"/>
        </w:rPr>
        <w:t xml:space="preserve"> </w:t>
      </w:r>
      <w:r>
        <w:rPr>
          <w:rFonts w:eastAsia="Times New Roman"/>
        </w:rPr>
        <w:t>r</w:t>
      </w:r>
      <w:r w:rsidR="00323C9D" w:rsidRPr="004C014F">
        <w:rPr>
          <w:rFonts w:eastAsia="Times New Roman"/>
        </w:rPr>
        <w:t>evisar el Plan Integral de Residuos de Castilla y León para acelerar la transición hacia una economía circular</w:t>
      </w:r>
      <w:r>
        <w:rPr>
          <w:rFonts w:eastAsia="Times New Roman"/>
        </w:rPr>
        <w:t xml:space="preserve">; </w:t>
      </w:r>
      <w:r w:rsidRPr="004C014F">
        <w:rPr>
          <w:rFonts w:eastAsia="Times New Roman"/>
          <w:b/>
          <w:bCs/>
        </w:rPr>
        <w:t>y</w:t>
      </w:r>
      <w:r w:rsidR="00323C9D" w:rsidRPr="004C014F">
        <w:rPr>
          <w:rFonts w:eastAsia="Times New Roman"/>
          <w:b/>
          <w:bCs/>
        </w:rPr>
        <w:t xml:space="preserve"> R-3</w:t>
      </w:r>
      <w:r>
        <w:rPr>
          <w:rFonts w:eastAsia="Times New Roman"/>
        </w:rPr>
        <w:t>, i</w:t>
      </w:r>
      <w:r w:rsidR="00323C9D" w:rsidRPr="004C014F">
        <w:rPr>
          <w:rFonts w:eastAsia="Times New Roman"/>
        </w:rPr>
        <w:t>mpulsar la utilización de subproductos, productos reciclados y materias primas secundarias a través de la contratación pública</w:t>
      </w:r>
      <w:r>
        <w:rPr>
          <w:rFonts w:eastAsia="Times New Roman"/>
        </w:rPr>
        <w:t>:</w:t>
      </w:r>
    </w:p>
    <w:p w14:paraId="58AD27C0" w14:textId="77777777" w:rsidR="00C05D3A" w:rsidRDefault="00C05D3A" w:rsidP="001F63DC">
      <w:pPr>
        <w:pStyle w:val="Prrafodelista"/>
        <w:numPr>
          <w:ilvl w:val="0"/>
          <w:numId w:val="1"/>
        </w:numPr>
        <w:spacing w:line="276" w:lineRule="auto"/>
        <w:jc w:val="both"/>
      </w:pPr>
      <w:r>
        <w:t>E</w:t>
      </w:r>
      <w:r w:rsidRPr="00C05D3A">
        <w:t xml:space="preserve">s necesaria una </w:t>
      </w:r>
      <w:r w:rsidRPr="00C05D3A">
        <w:rPr>
          <w:u w:val="single"/>
        </w:rPr>
        <w:t xml:space="preserve">regulación adecuada de la gestión de los </w:t>
      </w:r>
      <w:proofErr w:type="spellStart"/>
      <w:r w:rsidRPr="00C05D3A">
        <w:rPr>
          <w:u w:val="single"/>
        </w:rPr>
        <w:t>RCDs</w:t>
      </w:r>
      <w:proofErr w:type="spellEnd"/>
      <w:r w:rsidRPr="00C05D3A">
        <w:t xml:space="preserve">. Una herramienta útil para afianzar este proceso es que </w:t>
      </w:r>
      <w:r w:rsidR="001F63DC">
        <w:t xml:space="preserve">se </w:t>
      </w:r>
      <w:r w:rsidRPr="00C05D3A">
        <w:t xml:space="preserve">proporcionen incentivos al operador de demolición para que aplique la jerarquía de los residuos, fomentando la reutilización y reciclaje de los </w:t>
      </w:r>
      <w:proofErr w:type="spellStart"/>
      <w:r w:rsidRPr="00C05D3A">
        <w:t>RCDs</w:t>
      </w:r>
      <w:proofErr w:type="spellEnd"/>
      <w:r w:rsidRPr="00C05D3A">
        <w:t>, especialmente en áreas con gran densidad de población, en las que la oferta y la demanda estén concentradas geográficamente</w:t>
      </w:r>
      <w:r w:rsidR="001F63DC">
        <w:t xml:space="preserve"> y</w:t>
      </w:r>
      <w:r w:rsidRPr="00C05D3A">
        <w:t xml:space="preserve"> las distancias de transporte serán menores que las de suministro de materias primas vírgenes.</w:t>
      </w:r>
    </w:p>
    <w:p w14:paraId="05DAE68B" w14:textId="5B933D8E" w:rsidR="00C05D3A" w:rsidRPr="00C05D3A" w:rsidRDefault="00C05D3A" w:rsidP="001F63DC">
      <w:pPr>
        <w:pStyle w:val="Prrafodelista"/>
        <w:numPr>
          <w:ilvl w:val="0"/>
          <w:numId w:val="1"/>
        </w:numPr>
        <w:spacing w:line="276" w:lineRule="auto"/>
        <w:jc w:val="both"/>
      </w:pPr>
      <w:r w:rsidRPr="00C05D3A">
        <w:t xml:space="preserve">Las </w:t>
      </w:r>
      <w:r>
        <w:t>Administraciones Públicas deben</w:t>
      </w:r>
      <w:r w:rsidRPr="00C05D3A">
        <w:t xml:space="preserve"> establecer estrategias de gestión integrada de residuos que permitan promover la gestión de los </w:t>
      </w:r>
      <w:proofErr w:type="spellStart"/>
      <w:r w:rsidRPr="00C05D3A">
        <w:t>RCDs</w:t>
      </w:r>
      <w:proofErr w:type="spellEnd"/>
      <w:r w:rsidRPr="00C05D3A">
        <w:t xml:space="preserve"> de forma más sistemática. Las restricciones al depósito en vertedero (opción de gestión menos deseable, según la jerarquía europea de residuos) </w:t>
      </w:r>
      <w:r w:rsidR="001F63DC">
        <w:t>son</w:t>
      </w:r>
      <w:r w:rsidRPr="00C05D3A">
        <w:t xml:space="preserve"> fundamental</w:t>
      </w:r>
      <w:r w:rsidR="00B41BE5">
        <w:t>es</w:t>
      </w:r>
      <w:r w:rsidRPr="00C05D3A">
        <w:t xml:space="preserve"> para desarrollar un mercado de materiales reciclados de construcción y demolición. Creemos que es importante solicitar la </w:t>
      </w:r>
      <w:r w:rsidRPr="001F63DC">
        <w:rPr>
          <w:u w:val="single"/>
        </w:rPr>
        <w:t>condición de fin de residuo para las lanas minerales</w:t>
      </w:r>
      <w:r>
        <w:t>, co</w:t>
      </w:r>
      <w:r w:rsidRPr="00C05D3A">
        <w:t>n el objetivo de que los residuos una vez gestionados y acondicionados de forma adecuada por parte de un gestor puedan volver a ser incorporados dentro de la cadena de valor</w:t>
      </w:r>
      <w:r>
        <w:t>.</w:t>
      </w:r>
    </w:p>
    <w:p w14:paraId="39CB044A" w14:textId="77777777" w:rsidR="00C05D3A" w:rsidRDefault="00C05D3A" w:rsidP="004C014F">
      <w:pPr>
        <w:jc w:val="both"/>
        <w:rPr>
          <w:rFonts w:eastAsia="Times New Roman"/>
        </w:rPr>
      </w:pPr>
    </w:p>
    <w:p w14:paraId="3C7061A6" w14:textId="77777777" w:rsidR="004C014F" w:rsidRPr="004C014F" w:rsidRDefault="004C014F" w:rsidP="004C014F">
      <w:pPr>
        <w:jc w:val="both"/>
        <w:rPr>
          <w:rFonts w:eastAsia="Times New Roman"/>
        </w:rPr>
      </w:pPr>
    </w:p>
    <w:sectPr w:rsidR="004C014F" w:rsidRPr="004C01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1B0F" w14:textId="77777777" w:rsidR="000A1B69" w:rsidRDefault="000A1B69" w:rsidP="00323C9D">
      <w:pPr>
        <w:spacing w:after="0" w:line="240" w:lineRule="auto"/>
      </w:pPr>
      <w:r>
        <w:separator/>
      </w:r>
    </w:p>
  </w:endnote>
  <w:endnote w:type="continuationSeparator" w:id="0">
    <w:p w14:paraId="2254070F" w14:textId="77777777" w:rsidR="000A1B69" w:rsidRDefault="000A1B69" w:rsidP="0032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CBDB" w14:textId="77777777" w:rsidR="000A1B69" w:rsidRDefault="000A1B69" w:rsidP="00323C9D">
      <w:pPr>
        <w:spacing w:after="0" w:line="240" w:lineRule="auto"/>
      </w:pPr>
      <w:r>
        <w:separator/>
      </w:r>
    </w:p>
  </w:footnote>
  <w:footnote w:type="continuationSeparator" w:id="0">
    <w:p w14:paraId="36E60871" w14:textId="77777777" w:rsidR="000A1B69" w:rsidRDefault="000A1B69" w:rsidP="0032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256E" w14:textId="77777777" w:rsidR="00323C9D" w:rsidRDefault="00323C9D" w:rsidP="00323C9D">
    <w:pPr>
      <w:pStyle w:val="Encabezado"/>
      <w:jc w:val="right"/>
    </w:pPr>
    <w:r>
      <w:rPr>
        <w:noProof/>
      </w:rPr>
      <w:drawing>
        <wp:inline distT="0" distB="0" distL="0" distR="0" wp14:anchorId="32C25B81" wp14:editId="653D3E99">
          <wp:extent cx="1238250" cy="572300"/>
          <wp:effectExtent l="0" t="0" r="0" b="0"/>
          <wp:docPr id="1057523899" name="Imagen 1" descr="Asociación de Fabricantes de Lanas Minerales Aislantes | AFEL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ociación de Fabricantes de Lanas Minerales Aislantes | AFELM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84" t="32283" r="12756" b="33071"/>
                  <a:stretch/>
                </pic:blipFill>
                <pic:spPr bwMode="auto">
                  <a:xfrm>
                    <a:off x="0" y="0"/>
                    <a:ext cx="1250885" cy="57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35AAB4" w14:textId="77777777" w:rsidR="00323C9D" w:rsidRDefault="00323C9D" w:rsidP="00323C9D">
    <w:pPr>
      <w:pStyle w:val="Encabezado"/>
      <w:jc w:val="right"/>
    </w:pPr>
  </w:p>
  <w:p w14:paraId="72E288A4" w14:textId="77777777" w:rsidR="00323C9D" w:rsidRDefault="00323C9D" w:rsidP="00323C9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4A1"/>
    <w:multiLevelType w:val="hybridMultilevel"/>
    <w:tmpl w:val="989E6F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4DA"/>
    <w:multiLevelType w:val="hybridMultilevel"/>
    <w:tmpl w:val="BD6A2248"/>
    <w:lvl w:ilvl="0" w:tplc="8BAEF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00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E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A2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EA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C7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A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44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EE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51180A"/>
    <w:multiLevelType w:val="hybridMultilevel"/>
    <w:tmpl w:val="B5727B9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6A6DCA"/>
    <w:multiLevelType w:val="hybridMultilevel"/>
    <w:tmpl w:val="66B47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54EF"/>
    <w:multiLevelType w:val="hybridMultilevel"/>
    <w:tmpl w:val="10247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5920">
    <w:abstractNumId w:val="4"/>
  </w:num>
  <w:num w:numId="2" w16cid:durableId="1582791563">
    <w:abstractNumId w:val="2"/>
  </w:num>
  <w:num w:numId="3" w16cid:durableId="1693650024">
    <w:abstractNumId w:val="0"/>
  </w:num>
  <w:num w:numId="4" w16cid:durableId="1005591936">
    <w:abstractNumId w:val="0"/>
  </w:num>
  <w:num w:numId="5" w16cid:durableId="1065495837">
    <w:abstractNumId w:val="3"/>
  </w:num>
  <w:num w:numId="6" w16cid:durableId="153735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9D"/>
    <w:rsid w:val="00076D7C"/>
    <w:rsid w:val="000A1B69"/>
    <w:rsid w:val="001F63DC"/>
    <w:rsid w:val="00323C9D"/>
    <w:rsid w:val="004C014F"/>
    <w:rsid w:val="0072590B"/>
    <w:rsid w:val="0073497D"/>
    <w:rsid w:val="00826751"/>
    <w:rsid w:val="009B08C2"/>
    <w:rsid w:val="00B41BE5"/>
    <w:rsid w:val="00BB2AE9"/>
    <w:rsid w:val="00C05D3A"/>
    <w:rsid w:val="00DA42AA"/>
    <w:rsid w:val="00F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D9E4"/>
  <w15:chartTrackingRefBased/>
  <w15:docId w15:val="{AF779592-91E6-4F4E-BEA1-4F8A125D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C9D"/>
  </w:style>
  <w:style w:type="paragraph" w:styleId="Piedepgina">
    <w:name w:val="footer"/>
    <w:basedOn w:val="Normal"/>
    <w:link w:val="PiedepginaCar"/>
    <w:uiPriority w:val="99"/>
    <w:unhideWhenUsed/>
    <w:rsid w:val="0032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9D"/>
  </w:style>
  <w:style w:type="paragraph" w:styleId="Prrafodelista">
    <w:name w:val="List Paragraph"/>
    <w:basedOn w:val="Normal"/>
    <w:uiPriority w:val="34"/>
    <w:qFormat/>
    <w:rsid w:val="00323C9D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Baños</dc:creator>
  <cp:keywords/>
  <dc:description/>
  <cp:lastModifiedBy>Mónica Herranz</cp:lastModifiedBy>
  <cp:revision>2</cp:revision>
  <dcterms:created xsi:type="dcterms:W3CDTF">2023-11-17T09:18:00Z</dcterms:created>
  <dcterms:modified xsi:type="dcterms:W3CDTF">2023-11-17T09:18:00Z</dcterms:modified>
</cp:coreProperties>
</file>