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D8" w:rsidRDefault="00FF1E45">
      <w:pPr>
        <w:rPr>
          <w:b/>
          <w:u w:val="single"/>
        </w:rPr>
      </w:pPr>
      <w:r>
        <w:rPr>
          <w:noProof/>
          <w:lang w:eastAsia="es-ES"/>
        </w:rPr>
        <w:drawing>
          <wp:inline distT="0" distB="0" distL="0" distR="0" wp14:anchorId="3A733346" wp14:editId="7082DCFE">
            <wp:extent cx="2371725" cy="719455"/>
            <wp:effectExtent l="0" t="0" r="9525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8D8" w:rsidRDefault="006608D8">
      <w:pPr>
        <w:rPr>
          <w:b/>
          <w:u w:val="single"/>
        </w:rPr>
      </w:pPr>
      <w:bookmarkStart w:id="0" w:name="_GoBack"/>
      <w:bookmarkEnd w:id="0"/>
    </w:p>
    <w:p w:rsidR="00D05C88" w:rsidRPr="00A533F9" w:rsidRDefault="00C67D61" w:rsidP="00FF1E45">
      <w:pPr>
        <w:ind w:left="708"/>
        <w:rPr>
          <w:b/>
          <w:u w:val="single"/>
        </w:rPr>
      </w:pPr>
      <w:r w:rsidRPr="00A533F9">
        <w:rPr>
          <w:b/>
          <w:u w:val="single"/>
        </w:rPr>
        <w:t>Apoyamos y entendemos positiva esta futura ley.</w:t>
      </w:r>
    </w:p>
    <w:p w:rsidR="00C67D61" w:rsidRDefault="00C67D61" w:rsidP="00FF1E45">
      <w:pPr>
        <w:ind w:left="708"/>
      </w:pPr>
      <w:r>
        <w:t>Parece evidente que en una Comunidad Autónoma</w:t>
      </w:r>
      <w:r w:rsidR="00814B40">
        <w:t xml:space="preserve"> como Castilla y León, solidaria y con un engranaje tan complejo y con características sociodemográficas</w:t>
      </w:r>
      <w:r>
        <w:t xml:space="preserve"> </w:t>
      </w:r>
      <w:r w:rsidR="00814B40">
        <w:t xml:space="preserve">concretas, </w:t>
      </w:r>
      <w:r>
        <w:t>donde se han desarrollado más de 3.000 entidades de diferente configuración, trayectoria, enfoque de actividad, etc. empuja la necesidad de regular su funcionamiento a futuro</w:t>
      </w:r>
      <w:r w:rsidR="00A533F9">
        <w:t>,</w:t>
      </w:r>
      <w:r>
        <w:t xml:space="preserve"> para saber lo que es y lo que no es. </w:t>
      </w:r>
    </w:p>
    <w:p w:rsidR="00A533F9" w:rsidRDefault="00A533F9" w:rsidP="00FF1E45">
      <w:pPr>
        <w:ind w:left="708"/>
      </w:pPr>
      <w:r>
        <w:t>Nuestra visión de la Comunidad referido a este ámbito, con presencia desde hace 130 años y con una singularidad concreta, como alguna otra entidad afectada, está al servicio de la misma.</w:t>
      </w:r>
    </w:p>
    <w:p w:rsidR="00814B40" w:rsidRDefault="00814B40" w:rsidP="00FF1E45">
      <w:pPr>
        <w:ind w:left="708"/>
      </w:pPr>
      <w:r>
        <w:t>Creemos necesario</w:t>
      </w:r>
      <w:r w:rsidR="00A533F9">
        <w:t xml:space="preserve"> </w:t>
      </w:r>
      <w:r>
        <w:t>que se debe aclarar el artículo 11, punto 3º, donde se alude a “</w:t>
      </w:r>
      <w:r w:rsidRPr="00814B40">
        <w:rPr>
          <w:i/>
        </w:rPr>
        <w:t>entidades más representativas de cada sector</w:t>
      </w:r>
      <w:r>
        <w:t xml:space="preserve">”, ya que dependiendo del punto de valoración (% de población beneficiaria, trabajadores, </w:t>
      </w:r>
      <w:r w:rsidR="00A533F9">
        <w:t>antigüedad, presencia en el territorio,…), puede variar considerablemente la composición de esos foros de participación.</w:t>
      </w:r>
    </w:p>
    <w:p w:rsidR="00C67D61" w:rsidRDefault="00C67D61" w:rsidP="00FF1E45">
      <w:pPr>
        <w:ind w:left="708"/>
      </w:pPr>
      <w:r>
        <w:t xml:space="preserve">De la misma forma, desde nuestra propia identidad y trayectoria, entendemos y sugerimos que el </w:t>
      </w:r>
      <w:r w:rsidRPr="00A533F9">
        <w:rPr>
          <w:b/>
        </w:rPr>
        <w:t>voluntariado</w:t>
      </w:r>
      <w:r>
        <w:t>, merece normativa regulatoria independiente.</w:t>
      </w:r>
    </w:p>
    <w:sectPr w:rsidR="00C67D6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45" w:rsidRDefault="00FF1E45" w:rsidP="00FF1E45">
      <w:pPr>
        <w:spacing w:after="0" w:line="240" w:lineRule="auto"/>
      </w:pPr>
      <w:r>
        <w:separator/>
      </w:r>
    </w:p>
  </w:endnote>
  <w:endnote w:type="continuationSeparator" w:id="0">
    <w:p w:rsidR="00FF1E45" w:rsidRDefault="00FF1E45" w:rsidP="00FF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45" w:rsidRDefault="00FF1E45" w:rsidP="00FF1E45">
      <w:pPr>
        <w:spacing w:after="0" w:line="240" w:lineRule="auto"/>
      </w:pPr>
      <w:r>
        <w:separator/>
      </w:r>
    </w:p>
  </w:footnote>
  <w:footnote w:type="continuationSeparator" w:id="0">
    <w:p w:rsidR="00FF1E45" w:rsidRDefault="00FF1E45" w:rsidP="00FF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45" w:rsidRDefault="00FF1E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61"/>
    <w:rsid w:val="006608D8"/>
    <w:rsid w:val="00814B40"/>
    <w:rsid w:val="00A533F9"/>
    <w:rsid w:val="00C67D61"/>
    <w:rsid w:val="00D05C88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E45"/>
  </w:style>
  <w:style w:type="paragraph" w:styleId="Piedepgina">
    <w:name w:val="footer"/>
    <w:basedOn w:val="Normal"/>
    <w:link w:val="PiedepginaCar"/>
    <w:uiPriority w:val="99"/>
    <w:unhideWhenUsed/>
    <w:rsid w:val="00FF1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E45"/>
  </w:style>
  <w:style w:type="paragraph" w:styleId="Textodeglobo">
    <w:name w:val="Balloon Text"/>
    <w:basedOn w:val="Normal"/>
    <w:link w:val="TextodegloboCar"/>
    <w:uiPriority w:val="99"/>
    <w:semiHidden/>
    <w:unhideWhenUsed/>
    <w:rsid w:val="00FF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E45"/>
  </w:style>
  <w:style w:type="paragraph" w:styleId="Piedepgina">
    <w:name w:val="footer"/>
    <w:basedOn w:val="Normal"/>
    <w:link w:val="PiedepginaCar"/>
    <w:uiPriority w:val="99"/>
    <w:unhideWhenUsed/>
    <w:rsid w:val="00FF1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E45"/>
  </w:style>
  <w:style w:type="paragraph" w:styleId="Textodeglobo">
    <w:name w:val="Balloon Text"/>
    <w:basedOn w:val="Normal"/>
    <w:link w:val="TextodegloboCar"/>
    <w:uiPriority w:val="99"/>
    <w:semiHidden/>
    <w:unhideWhenUsed/>
    <w:rsid w:val="00FF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Arellano</dc:creator>
  <cp:lastModifiedBy>Javier Arellano</cp:lastModifiedBy>
  <cp:revision>1</cp:revision>
  <dcterms:created xsi:type="dcterms:W3CDTF">2020-03-06T09:18:00Z</dcterms:created>
  <dcterms:modified xsi:type="dcterms:W3CDTF">2020-03-06T10:17:00Z</dcterms:modified>
</cp:coreProperties>
</file>