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96" w:rsidRPr="001D7AE1" w:rsidRDefault="00026A96" w:rsidP="001D7AE1">
      <w:pPr>
        <w:jc w:val="both"/>
        <w:rPr>
          <w:b/>
          <w:sz w:val="28"/>
          <w:lang w:val="es-ES_tradnl"/>
        </w:rPr>
      </w:pPr>
      <w:r w:rsidRPr="001D7AE1">
        <w:rPr>
          <w:b/>
          <w:sz w:val="28"/>
          <w:lang w:val="es-ES_tradnl"/>
        </w:rPr>
        <w:t>Alegaciones borrador ley Tercer Sector</w:t>
      </w:r>
    </w:p>
    <w:p w:rsidR="00C67154" w:rsidRPr="001D7AE1" w:rsidRDefault="00C67154" w:rsidP="001D7AE1">
      <w:pPr>
        <w:jc w:val="both"/>
        <w:rPr>
          <w:sz w:val="24"/>
          <w:lang w:val="es-ES_tradnl"/>
        </w:rPr>
      </w:pPr>
    </w:p>
    <w:p w:rsidR="001523BA" w:rsidRPr="001D7AE1" w:rsidRDefault="00CC34C6" w:rsidP="001D7AE1">
      <w:pPr>
        <w:jc w:val="both"/>
        <w:rPr>
          <w:b/>
          <w:sz w:val="24"/>
          <w:lang w:val="es-ES_tradnl"/>
        </w:rPr>
      </w:pPr>
      <w:bookmarkStart w:id="0" w:name="_GoBack"/>
      <w:bookmarkEnd w:id="0"/>
      <w:r w:rsidRPr="001D7AE1">
        <w:rPr>
          <w:b/>
          <w:sz w:val="24"/>
          <w:lang w:val="es-ES_tradnl"/>
        </w:rPr>
        <w:t>Alegación 1</w:t>
      </w:r>
      <w:r w:rsidR="001523BA" w:rsidRPr="001D7AE1">
        <w:rPr>
          <w:b/>
          <w:sz w:val="24"/>
          <w:lang w:val="es-ES_tradnl"/>
        </w:rPr>
        <w:t>:</w:t>
      </w:r>
    </w:p>
    <w:p w:rsidR="001523BA" w:rsidRDefault="001523BA" w:rsidP="001D7AE1">
      <w:pPr>
        <w:jc w:val="both"/>
        <w:rPr>
          <w:sz w:val="24"/>
          <w:lang w:val="es-ES_tradnl"/>
        </w:rPr>
      </w:pPr>
      <w:r w:rsidRPr="001D7AE1">
        <w:rPr>
          <w:sz w:val="24"/>
          <w:lang w:val="es-ES_tradnl"/>
        </w:rPr>
        <w:t xml:space="preserve">En la Exposición de motivos y en el Capítulo I (disposiciones generales) debería hacerse referencia a la Ley Orgánica 1/2002, de 22 de marzo, reguladora del derecho de asociación, especificando la diferencia entre una asociación reconocida de acuerdo con esa Ley, y lo que va a suponer que se le reconozca como una entidad del Tercer Sector de Castilla y León. </w:t>
      </w:r>
    </w:p>
    <w:p w:rsidR="009A4576" w:rsidRPr="001D7AE1" w:rsidRDefault="009A4576" w:rsidP="001D7AE1">
      <w:pPr>
        <w:jc w:val="both"/>
        <w:rPr>
          <w:sz w:val="24"/>
          <w:lang w:val="es-ES_tradnl"/>
        </w:rPr>
      </w:pPr>
      <w:r w:rsidRPr="00CF2DBF">
        <w:rPr>
          <w:b/>
          <w:sz w:val="24"/>
          <w:lang w:val="es-ES_tradnl"/>
        </w:rPr>
        <w:t>Argumentación alegación 1</w:t>
      </w:r>
      <w:r>
        <w:rPr>
          <w:sz w:val="24"/>
          <w:lang w:val="es-ES_tradnl"/>
        </w:rPr>
        <w:t xml:space="preserve">: Esto es importante a efectos de poner el valor que supone que una entidad del tercer sector se le reconozca como tal con la aprobación de la presente ley. </w:t>
      </w:r>
    </w:p>
    <w:p w:rsidR="001D7AE1" w:rsidRDefault="001D7AE1" w:rsidP="001D7AE1">
      <w:pPr>
        <w:jc w:val="both"/>
        <w:rPr>
          <w:b/>
          <w:sz w:val="24"/>
          <w:lang w:val="es-ES_tradnl"/>
        </w:rPr>
      </w:pPr>
    </w:p>
    <w:p w:rsidR="00CC34C6" w:rsidRPr="001D7AE1" w:rsidRDefault="00CC34C6" w:rsidP="001D7AE1">
      <w:pPr>
        <w:jc w:val="both"/>
        <w:rPr>
          <w:b/>
          <w:sz w:val="24"/>
          <w:lang w:val="es-ES_tradnl"/>
        </w:rPr>
      </w:pPr>
      <w:r w:rsidRPr="001D7AE1">
        <w:rPr>
          <w:b/>
          <w:sz w:val="24"/>
          <w:lang w:val="es-ES_tradnl"/>
        </w:rPr>
        <w:t>Alegación 2:</w:t>
      </w:r>
    </w:p>
    <w:p w:rsidR="009A4576" w:rsidRDefault="00CC34C6" w:rsidP="001D7AE1">
      <w:pPr>
        <w:jc w:val="both"/>
        <w:rPr>
          <w:sz w:val="24"/>
          <w:lang w:val="es-ES_tradnl"/>
        </w:rPr>
      </w:pPr>
      <w:r w:rsidRPr="001D7AE1">
        <w:rPr>
          <w:sz w:val="24"/>
          <w:lang w:val="es-ES_tradnl"/>
        </w:rPr>
        <w:t>En el artículo 2 debe especificarse las distintas tipos de entidades en fu</w:t>
      </w:r>
      <w:r w:rsidR="001D7AE1">
        <w:rPr>
          <w:sz w:val="24"/>
          <w:lang w:val="es-ES_tradnl"/>
        </w:rPr>
        <w:t>nción d</w:t>
      </w:r>
      <w:r w:rsidR="001C234B">
        <w:rPr>
          <w:sz w:val="24"/>
          <w:lang w:val="es-ES_tradnl"/>
        </w:rPr>
        <w:t xml:space="preserve">e su ámbito territorial. </w:t>
      </w:r>
      <w:r w:rsidRPr="001D7AE1">
        <w:rPr>
          <w:sz w:val="24"/>
          <w:lang w:val="es-ES_tradnl"/>
        </w:rPr>
        <w:t xml:space="preserve">Entidades de ámbito estatal que en Castilla y León tienen una delegación, entidades cuyo ámbito de actuación es exclusivamente la Comunidad Autónoma,  entidades de ámbito local. </w:t>
      </w:r>
    </w:p>
    <w:p w:rsidR="00CC34C6" w:rsidRPr="001D7AE1" w:rsidRDefault="009A4576" w:rsidP="001D7AE1">
      <w:pPr>
        <w:jc w:val="both"/>
        <w:rPr>
          <w:sz w:val="24"/>
          <w:lang w:val="es-ES_tradnl"/>
        </w:rPr>
      </w:pPr>
      <w:r w:rsidRPr="00CF2DBF">
        <w:rPr>
          <w:b/>
          <w:sz w:val="24"/>
          <w:lang w:val="es-ES_tradnl"/>
        </w:rPr>
        <w:t>Argumentación de la Alegación 2</w:t>
      </w:r>
      <w:r>
        <w:rPr>
          <w:sz w:val="24"/>
          <w:lang w:val="es-ES_tradnl"/>
        </w:rPr>
        <w:t xml:space="preserve">: </w:t>
      </w:r>
      <w:r w:rsidR="00CC34C6" w:rsidRPr="001D7AE1">
        <w:rPr>
          <w:sz w:val="24"/>
          <w:lang w:val="es-ES_tradnl"/>
        </w:rPr>
        <w:t xml:space="preserve">Esto es necesario, puesto que </w:t>
      </w:r>
      <w:r w:rsidR="001D7AE1">
        <w:rPr>
          <w:sz w:val="24"/>
          <w:lang w:val="es-ES_tradnl"/>
        </w:rPr>
        <w:t xml:space="preserve">la regulación de </w:t>
      </w:r>
      <w:r w:rsidR="00CC34C6" w:rsidRPr="001D7AE1">
        <w:rPr>
          <w:sz w:val="24"/>
          <w:lang w:val="es-ES_tradnl"/>
        </w:rPr>
        <w:t xml:space="preserve">las entidades del Tercer Sector </w:t>
      </w:r>
      <w:r w:rsidR="001D7AE1">
        <w:rPr>
          <w:sz w:val="24"/>
          <w:lang w:val="es-ES_tradnl"/>
        </w:rPr>
        <w:t>S</w:t>
      </w:r>
      <w:r w:rsidR="00CC34C6" w:rsidRPr="001D7AE1">
        <w:rPr>
          <w:sz w:val="24"/>
          <w:lang w:val="es-ES_tradnl"/>
        </w:rPr>
        <w:t xml:space="preserve">ocial que </w:t>
      </w:r>
      <w:r w:rsidR="001D7AE1">
        <w:rPr>
          <w:sz w:val="24"/>
          <w:lang w:val="es-ES_tradnl"/>
        </w:rPr>
        <w:t>realiza</w:t>
      </w:r>
      <w:r w:rsidR="00CC34C6" w:rsidRPr="001D7AE1">
        <w:rPr>
          <w:sz w:val="24"/>
          <w:lang w:val="es-ES_tradnl"/>
        </w:rPr>
        <w:t xml:space="preserve"> esta Ley, también afecta  a las administraciones</w:t>
      </w:r>
      <w:r w:rsidR="005025AA" w:rsidRPr="001D7AE1">
        <w:rPr>
          <w:sz w:val="24"/>
          <w:lang w:val="es-ES_tradnl"/>
        </w:rPr>
        <w:t xml:space="preserve"> locales (</w:t>
      </w:r>
      <w:r w:rsidR="001C234B">
        <w:rPr>
          <w:sz w:val="24"/>
          <w:lang w:val="es-ES_tradnl"/>
        </w:rPr>
        <w:t>artículo 12). Puesto que para su</w:t>
      </w:r>
      <w:r w:rsidR="005025AA" w:rsidRPr="001D7AE1">
        <w:rPr>
          <w:sz w:val="24"/>
          <w:lang w:val="es-ES_tradnl"/>
        </w:rPr>
        <w:t xml:space="preserve"> sostenibilidad </w:t>
      </w:r>
      <w:r w:rsidR="001C234B">
        <w:rPr>
          <w:sz w:val="24"/>
          <w:lang w:val="es-ES_tradnl"/>
        </w:rPr>
        <w:t>pueden</w:t>
      </w:r>
      <w:r w:rsidR="005025AA" w:rsidRPr="001D7AE1">
        <w:rPr>
          <w:sz w:val="24"/>
          <w:lang w:val="es-ES_tradnl"/>
        </w:rPr>
        <w:t xml:space="preserve"> recibir apoyo de las Administraciones Públicas (artículo 16)</w:t>
      </w:r>
      <w:r w:rsidR="001C234B">
        <w:rPr>
          <w:sz w:val="24"/>
          <w:lang w:val="es-ES_tradnl"/>
        </w:rPr>
        <w:t>, es necesario que se especifique su ámbito de intervención y por lo tanto su ámbito de relación con las administraciones públicas</w:t>
      </w:r>
      <w:r w:rsidR="005025AA" w:rsidRPr="001D7AE1">
        <w:rPr>
          <w:sz w:val="24"/>
          <w:lang w:val="es-ES_tradnl"/>
        </w:rPr>
        <w:t>. En este sentido también debe dejarse claro si las entidades cuyos estatutos son de ámbito estatal, pero están desarrollando actividad en Castilla y León, pueden ser consideradas Entidades  del Te</w:t>
      </w:r>
      <w:r>
        <w:rPr>
          <w:sz w:val="24"/>
          <w:lang w:val="es-ES_tradnl"/>
        </w:rPr>
        <w:t>rcer Sector de Castilla y León y cómo afecta la posible financiación que reciben del Estado Español y la financiación que pueden recibir de la Administración Autonómica.</w:t>
      </w:r>
    </w:p>
    <w:p w:rsidR="009B5A36" w:rsidRDefault="009B5A36" w:rsidP="001D7AE1">
      <w:pPr>
        <w:jc w:val="both"/>
        <w:rPr>
          <w:b/>
          <w:sz w:val="24"/>
          <w:lang w:val="es-ES_tradnl"/>
        </w:rPr>
      </w:pPr>
    </w:p>
    <w:p w:rsidR="003D0AAF" w:rsidRPr="001D7AE1" w:rsidRDefault="003D0AAF" w:rsidP="001D7AE1">
      <w:pPr>
        <w:jc w:val="both"/>
        <w:rPr>
          <w:sz w:val="24"/>
          <w:lang w:val="es-ES_tradnl"/>
        </w:rPr>
      </w:pPr>
      <w:r w:rsidRPr="001D7AE1">
        <w:rPr>
          <w:b/>
          <w:sz w:val="24"/>
          <w:lang w:val="es-ES_tradnl"/>
        </w:rPr>
        <w:t>Alegación 3:</w:t>
      </w:r>
      <w:r w:rsidRPr="001D7AE1">
        <w:rPr>
          <w:sz w:val="24"/>
          <w:lang w:val="es-ES_tradnl"/>
        </w:rPr>
        <w:t xml:space="preserve"> </w:t>
      </w:r>
    </w:p>
    <w:p w:rsidR="009A4576" w:rsidRDefault="009A4576" w:rsidP="001D7AE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artículo 11 debe recogerse que la interlocución entre la Junta de Castilla y León y el Tercer Sector Social castellano y leon</w:t>
      </w:r>
      <w:r w:rsidR="00E41625">
        <w:rPr>
          <w:sz w:val="24"/>
          <w:lang w:val="es-ES_tradnl"/>
        </w:rPr>
        <w:t>é</w:t>
      </w:r>
      <w:r>
        <w:rPr>
          <w:sz w:val="24"/>
          <w:lang w:val="es-ES_tradnl"/>
        </w:rPr>
        <w:t xml:space="preserve">s, </w:t>
      </w:r>
      <w:r w:rsidR="00E41625">
        <w:rPr>
          <w:sz w:val="24"/>
          <w:lang w:val="es-ES_tradnl"/>
        </w:rPr>
        <w:t>se articulará garantizando que ninguna entidad de éste queda al margen de la interlocución y por lo tanto se tendrá en cuenta todas las entidades del Tercer Sector en la composición de la “</w:t>
      </w:r>
      <w:r w:rsidR="001C234B">
        <w:rPr>
          <w:sz w:val="24"/>
          <w:lang w:val="es-ES_tradnl"/>
        </w:rPr>
        <w:t>Sección de colaboración con el Tercer Sector del Consejo de Servicios Sociales</w:t>
      </w:r>
      <w:r w:rsidR="00E41625">
        <w:rPr>
          <w:sz w:val="24"/>
          <w:lang w:val="es-ES_tradnl"/>
        </w:rPr>
        <w:t xml:space="preserve">”.  </w:t>
      </w:r>
      <w:r w:rsidR="00CF2DBF">
        <w:rPr>
          <w:sz w:val="24"/>
          <w:lang w:val="es-ES_tradnl"/>
        </w:rPr>
        <w:t xml:space="preserve">Por lo que debe incluirse en la </w:t>
      </w:r>
      <w:r w:rsidR="00CF2DBF">
        <w:rPr>
          <w:sz w:val="24"/>
          <w:lang w:val="es-ES_tradnl"/>
        </w:rPr>
        <w:lastRenderedPageBreak/>
        <w:t>Disposición Adicional Primera que en la composición  de la misma</w:t>
      </w:r>
      <w:r w:rsidR="00B57FDD">
        <w:rPr>
          <w:sz w:val="24"/>
          <w:lang w:val="es-ES_tradnl"/>
        </w:rPr>
        <w:t xml:space="preserve"> se incluirán dos personas en representación de las entidades que repres</w:t>
      </w:r>
      <w:r w:rsidR="001C234B">
        <w:rPr>
          <w:sz w:val="24"/>
          <w:lang w:val="es-ES_tradnl"/>
        </w:rPr>
        <w:t>en los menores con dependencia o</w:t>
      </w:r>
      <w:r w:rsidR="00B57FDD">
        <w:rPr>
          <w:sz w:val="24"/>
          <w:lang w:val="es-ES_tradnl"/>
        </w:rPr>
        <w:t xml:space="preserve"> enfermedades raras</w:t>
      </w:r>
      <w:r w:rsidR="00CF2DBF">
        <w:rPr>
          <w:sz w:val="24"/>
          <w:lang w:val="es-ES_tradnl"/>
        </w:rPr>
        <w:t xml:space="preserve">. </w:t>
      </w:r>
    </w:p>
    <w:p w:rsidR="00E41625" w:rsidRDefault="00E41625" w:rsidP="001D7AE1">
      <w:pPr>
        <w:jc w:val="both"/>
        <w:rPr>
          <w:sz w:val="24"/>
          <w:lang w:val="es-ES_tradnl"/>
        </w:rPr>
      </w:pPr>
    </w:p>
    <w:p w:rsidR="003D0AAF" w:rsidRPr="001D7AE1" w:rsidRDefault="00CF2DBF" w:rsidP="001D7AE1">
      <w:pPr>
        <w:jc w:val="both"/>
        <w:rPr>
          <w:sz w:val="24"/>
          <w:lang w:val="es-ES_tradnl"/>
        </w:rPr>
      </w:pPr>
      <w:r w:rsidRPr="003846F3">
        <w:rPr>
          <w:b/>
          <w:sz w:val="24"/>
          <w:lang w:val="es-ES_tradnl"/>
        </w:rPr>
        <w:t>Argumentación alegación 3</w:t>
      </w:r>
      <w:r w:rsidR="00B57FDD">
        <w:rPr>
          <w:sz w:val="24"/>
          <w:lang w:val="es-ES_tradnl"/>
        </w:rPr>
        <w:t xml:space="preserve">: La actual composición de la “Sección de colaboración con el Tercer Sector del Consejo de Servicios Sociales”, no recoge </w:t>
      </w:r>
      <w:r w:rsidR="001C234B">
        <w:rPr>
          <w:sz w:val="24"/>
          <w:lang w:val="es-ES_tradnl"/>
        </w:rPr>
        <w:t>todos</w:t>
      </w:r>
      <w:r w:rsidR="00B57FDD">
        <w:rPr>
          <w:sz w:val="24"/>
          <w:lang w:val="es-ES_tradnl"/>
        </w:rPr>
        <w:t xml:space="preserve"> los colectivos que por su especial vulnerabilidad, son atendidos por entidades del Tercer Sector. </w:t>
      </w:r>
    </w:p>
    <w:p w:rsidR="009B5A36" w:rsidRDefault="009B5A36" w:rsidP="001D7AE1">
      <w:pPr>
        <w:jc w:val="both"/>
        <w:rPr>
          <w:b/>
          <w:sz w:val="24"/>
          <w:lang w:val="es-ES_tradnl"/>
        </w:rPr>
      </w:pPr>
    </w:p>
    <w:p w:rsidR="005025AA" w:rsidRPr="001D7AE1" w:rsidRDefault="003D0AAF" w:rsidP="001D7AE1">
      <w:pPr>
        <w:jc w:val="both"/>
        <w:rPr>
          <w:b/>
          <w:sz w:val="24"/>
          <w:lang w:val="es-ES_tradnl"/>
        </w:rPr>
      </w:pPr>
      <w:r w:rsidRPr="001D7AE1">
        <w:rPr>
          <w:b/>
          <w:sz w:val="24"/>
          <w:lang w:val="es-ES_tradnl"/>
        </w:rPr>
        <w:t xml:space="preserve">Alegación 4: </w:t>
      </w:r>
    </w:p>
    <w:p w:rsidR="00B57FDD" w:rsidRDefault="00B57FDD" w:rsidP="001D7AE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En el Artículo 12 </w:t>
      </w:r>
      <w:r w:rsidR="003B1591" w:rsidRPr="001D7AE1">
        <w:rPr>
          <w:sz w:val="24"/>
          <w:lang w:val="es-ES_tradnl"/>
        </w:rPr>
        <w:t>cámbiese el término “podrá”, por el término “formara parte del Consejo Económico y Social”</w:t>
      </w:r>
      <w:r>
        <w:rPr>
          <w:sz w:val="24"/>
          <w:lang w:val="es-ES_tradnl"/>
        </w:rPr>
        <w:t>.</w:t>
      </w:r>
    </w:p>
    <w:p w:rsidR="00B57FDD" w:rsidRDefault="00B57FDD" w:rsidP="001D7AE1">
      <w:pPr>
        <w:jc w:val="both"/>
        <w:rPr>
          <w:sz w:val="24"/>
          <w:lang w:val="es-ES_tradnl"/>
        </w:rPr>
      </w:pPr>
    </w:p>
    <w:p w:rsidR="003D0AAF" w:rsidRPr="001D7AE1" w:rsidRDefault="00B57FDD" w:rsidP="001D7AE1">
      <w:pPr>
        <w:jc w:val="both"/>
        <w:rPr>
          <w:sz w:val="24"/>
          <w:lang w:val="es-ES_tradnl"/>
        </w:rPr>
      </w:pPr>
      <w:r w:rsidRPr="003846F3">
        <w:rPr>
          <w:b/>
          <w:sz w:val="24"/>
          <w:lang w:val="es-ES_tradnl"/>
        </w:rPr>
        <w:t>Argumentación alegación 4</w:t>
      </w:r>
      <w:r>
        <w:rPr>
          <w:sz w:val="24"/>
          <w:lang w:val="es-ES_tradnl"/>
        </w:rPr>
        <w:t xml:space="preserve">: La importancia de participar en el Consejo Económico y  Social es fundamental, puesto que sus informes afectan a los ámbitos donde interviene el Tercer Sector. Si no se concreta el derecho a participar, se estará quedando simplemente en una oferta política, sin </w:t>
      </w:r>
      <w:r w:rsidR="001C234B">
        <w:rPr>
          <w:sz w:val="24"/>
          <w:lang w:val="es-ES_tradnl"/>
        </w:rPr>
        <w:t>ningún tipo de compromiso</w:t>
      </w:r>
      <w:r w:rsidR="009B5A36">
        <w:rPr>
          <w:sz w:val="24"/>
          <w:lang w:val="es-ES_tradnl"/>
        </w:rPr>
        <w:t xml:space="preserve">. </w:t>
      </w:r>
    </w:p>
    <w:p w:rsidR="009B5A36" w:rsidRDefault="009B5A36" w:rsidP="001D7AE1">
      <w:pPr>
        <w:jc w:val="both"/>
        <w:rPr>
          <w:b/>
          <w:sz w:val="24"/>
          <w:lang w:val="es-ES_tradnl"/>
        </w:rPr>
      </w:pPr>
    </w:p>
    <w:p w:rsidR="003B1591" w:rsidRPr="001D7AE1" w:rsidRDefault="003B1591" w:rsidP="001D7AE1">
      <w:pPr>
        <w:jc w:val="both"/>
        <w:rPr>
          <w:b/>
          <w:sz w:val="24"/>
          <w:lang w:val="es-ES_tradnl"/>
        </w:rPr>
      </w:pPr>
      <w:r w:rsidRPr="001D7AE1">
        <w:rPr>
          <w:b/>
          <w:sz w:val="24"/>
          <w:lang w:val="es-ES_tradnl"/>
        </w:rPr>
        <w:t>Alegación 5:</w:t>
      </w:r>
    </w:p>
    <w:p w:rsidR="00BB74CC" w:rsidRDefault="003B1591" w:rsidP="001D7AE1">
      <w:pPr>
        <w:jc w:val="both"/>
        <w:rPr>
          <w:sz w:val="24"/>
          <w:lang w:val="es-ES_tradnl"/>
        </w:rPr>
      </w:pPr>
      <w:r w:rsidRPr="001D7AE1">
        <w:rPr>
          <w:sz w:val="24"/>
          <w:lang w:val="es-ES_tradnl"/>
        </w:rPr>
        <w:t>En el artículo 18</w:t>
      </w:r>
      <w:r w:rsidR="00B57FDD">
        <w:rPr>
          <w:sz w:val="24"/>
          <w:lang w:val="es-ES_tradnl"/>
        </w:rPr>
        <w:t>.1, se sustituirá “</w:t>
      </w:r>
      <w:r w:rsidR="00B35CAC">
        <w:rPr>
          <w:sz w:val="24"/>
          <w:lang w:val="es-ES_tradnl"/>
        </w:rPr>
        <w:t xml:space="preserve">Por la </w:t>
      </w:r>
      <w:r w:rsidR="00B57FDD">
        <w:rPr>
          <w:sz w:val="24"/>
          <w:lang w:val="es-ES_tradnl"/>
        </w:rPr>
        <w:t xml:space="preserve">justicia y equidad </w:t>
      </w:r>
      <w:r w:rsidR="00B35CAC">
        <w:rPr>
          <w:sz w:val="24"/>
          <w:lang w:val="es-ES_tradnl"/>
        </w:rPr>
        <w:t>con</w:t>
      </w:r>
      <w:r w:rsidR="00B57FDD">
        <w:rPr>
          <w:sz w:val="24"/>
          <w:lang w:val="es-ES_tradnl"/>
        </w:rPr>
        <w:t xml:space="preserve"> salarios y condiciones laborales dignas</w:t>
      </w:r>
      <w:r w:rsidR="00B35CAC">
        <w:rPr>
          <w:sz w:val="24"/>
          <w:lang w:val="es-ES_tradnl"/>
        </w:rPr>
        <w:t>…</w:t>
      </w:r>
      <w:r w:rsidR="00B57FDD">
        <w:rPr>
          <w:sz w:val="24"/>
          <w:lang w:val="es-ES_tradnl"/>
        </w:rPr>
        <w:t>”, por “</w:t>
      </w:r>
      <w:r w:rsidR="00B35CAC">
        <w:rPr>
          <w:sz w:val="24"/>
          <w:lang w:val="es-ES_tradnl"/>
        </w:rPr>
        <w:t xml:space="preserve">Por </w:t>
      </w:r>
      <w:r w:rsidR="00B57FDD">
        <w:rPr>
          <w:sz w:val="24"/>
          <w:lang w:val="es-ES_tradnl"/>
        </w:rPr>
        <w:t xml:space="preserve">los salarios </w:t>
      </w:r>
      <w:r w:rsidR="00BB74CC">
        <w:rPr>
          <w:sz w:val="24"/>
          <w:lang w:val="es-ES_tradnl"/>
        </w:rPr>
        <w:t xml:space="preserve">estarán equiparados al salario medio de Castilla y León </w:t>
      </w:r>
      <w:r w:rsidR="00B57FDD">
        <w:rPr>
          <w:sz w:val="24"/>
          <w:lang w:val="es-ES_tradnl"/>
        </w:rPr>
        <w:t xml:space="preserve"> </w:t>
      </w:r>
      <w:r w:rsidR="00BB74CC" w:rsidRPr="001D7AE1">
        <w:rPr>
          <w:sz w:val="24"/>
          <w:lang w:val="es-ES_tradnl"/>
        </w:rPr>
        <w:t>y las condiciones laborales deberán regularse a través de la negoción colectiva</w:t>
      </w:r>
      <w:r w:rsidR="00BB74CC">
        <w:rPr>
          <w:sz w:val="24"/>
          <w:lang w:val="es-ES_tradnl"/>
        </w:rPr>
        <w:t>”.</w:t>
      </w:r>
    </w:p>
    <w:p w:rsidR="00BB74CC" w:rsidRDefault="00BB74CC" w:rsidP="001D7AE1">
      <w:pPr>
        <w:jc w:val="both"/>
        <w:rPr>
          <w:sz w:val="24"/>
          <w:lang w:val="es-ES_tradnl"/>
        </w:rPr>
      </w:pPr>
    </w:p>
    <w:p w:rsidR="009B5A36" w:rsidRDefault="00BB74CC" w:rsidP="001D7AE1">
      <w:pPr>
        <w:jc w:val="both"/>
        <w:rPr>
          <w:sz w:val="24"/>
          <w:lang w:val="es-ES_tradnl"/>
        </w:rPr>
      </w:pPr>
      <w:r w:rsidRPr="001D7AE1">
        <w:rPr>
          <w:sz w:val="24"/>
          <w:lang w:val="es-ES_tradnl"/>
        </w:rPr>
        <w:t xml:space="preserve"> </w:t>
      </w:r>
      <w:r w:rsidRPr="003846F3">
        <w:rPr>
          <w:b/>
          <w:sz w:val="24"/>
          <w:lang w:val="es-ES_tradnl"/>
        </w:rPr>
        <w:t>Argumentación alegación 5</w:t>
      </w:r>
      <w:r>
        <w:rPr>
          <w:sz w:val="24"/>
          <w:lang w:val="es-ES_tradnl"/>
        </w:rPr>
        <w:t xml:space="preserve">: Es necesario evitar generalidades que no contribuyen a crear </w:t>
      </w:r>
      <w:r w:rsidR="001B6530">
        <w:rPr>
          <w:sz w:val="24"/>
          <w:lang w:val="es-ES_tradnl"/>
        </w:rPr>
        <w:t>unas condiciones laborales dignas</w:t>
      </w:r>
      <w:r>
        <w:rPr>
          <w:sz w:val="24"/>
          <w:lang w:val="es-ES_tradnl"/>
        </w:rPr>
        <w:t xml:space="preserve">  </w:t>
      </w:r>
    </w:p>
    <w:p w:rsidR="00BB74CC" w:rsidRDefault="00BB74CC" w:rsidP="001D7AE1">
      <w:pPr>
        <w:jc w:val="both"/>
        <w:rPr>
          <w:b/>
          <w:sz w:val="24"/>
          <w:lang w:val="es-ES_tradnl"/>
        </w:rPr>
      </w:pPr>
    </w:p>
    <w:p w:rsidR="00E5157B" w:rsidRPr="001D7AE1" w:rsidRDefault="00E5157B" w:rsidP="001D7AE1">
      <w:pPr>
        <w:jc w:val="both"/>
        <w:rPr>
          <w:b/>
          <w:sz w:val="24"/>
          <w:lang w:val="es-ES_tradnl"/>
        </w:rPr>
      </w:pPr>
      <w:r w:rsidRPr="001D7AE1">
        <w:rPr>
          <w:b/>
          <w:sz w:val="24"/>
          <w:lang w:val="es-ES_tradnl"/>
        </w:rPr>
        <w:t>Alegación 6:</w:t>
      </w:r>
    </w:p>
    <w:p w:rsidR="001B6530" w:rsidRDefault="001B6530" w:rsidP="001D7AE1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Suprimir la Disposición final primera. </w:t>
      </w:r>
    </w:p>
    <w:p w:rsidR="001B6530" w:rsidRDefault="001B6530" w:rsidP="001D7AE1">
      <w:pPr>
        <w:jc w:val="both"/>
        <w:rPr>
          <w:sz w:val="24"/>
          <w:lang w:val="es-ES_tradnl"/>
        </w:rPr>
      </w:pPr>
    </w:p>
    <w:p w:rsidR="001B6530" w:rsidRDefault="001B6530" w:rsidP="001D7AE1">
      <w:pPr>
        <w:jc w:val="both"/>
        <w:rPr>
          <w:sz w:val="24"/>
          <w:lang w:val="es-ES_tradnl"/>
        </w:rPr>
      </w:pPr>
      <w:r w:rsidRPr="003846F3">
        <w:rPr>
          <w:b/>
          <w:sz w:val="24"/>
          <w:lang w:val="es-ES_tradnl"/>
        </w:rPr>
        <w:t>Argumentación alegación 6</w:t>
      </w:r>
      <w:r>
        <w:rPr>
          <w:sz w:val="24"/>
          <w:lang w:val="es-ES_tradnl"/>
        </w:rPr>
        <w:t xml:space="preserve">: No es lógico </w:t>
      </w:r>
      <w:r w:rsidR="003846F3">
        <w:rPr>
          <w:sz w:val="24"/>
          <w:lang w:val="es-ES_tradnl"/>
        </w:rPr>
        <w:t>qu</w:t>
      </w:r>
      <w:r w:rsidR="00E5157B" w:rsidRPr="001D7AE1">
        <w:rPr>
          <w:sz w:val="24"/>
          <w:lang w:val="es-ES_tradnl"/>
        </w:rPr>
        <w:t>e</w:t>
      </w:r>
      <w:r>
        <w:rPr>
          <w:sz w:val="24"/>
          <w:lang w:val="es-ES_tradnl"/>
        </w:rPr>
        <w:t xml:space="preserve"> una modificación del calado que se plantea de la </w:t>
      </w:r>
      <w:r w:rsidR="00E5157B" w:rsidRPr="001D7AE1">
        <w:rPr>
          <w:sz w:val="24"/>
          <w:lang w:val="es-ES_tradnl"/>
        </w:rPr>
        <w:t xml:space="preserve"> </w:t>
      </w:r>
      <w:r w:rsidR="00E5157B" w:rsidRPr="001B6530">
        <w:rPr>
          <w:sz w:val="24"/>
          <w:lang w:val="es-ES_tradnl"/>
        </w:rPr>
        <w:t xml:space="preserve">Ley 8/2006, del voluntariado de Castilla y León, </w:t>
      </w:r>
      <w:r>
        <w:rPr>
          <w:sz w:val="24"/>
          <w:lang w:val="es-ES_tradnl"/>
        </w:rPr>
        <w:t xml:space="preserve">se realice a través de una </w:t>
      </w:r>
      <w:r>
        <w:rPr>
          <w:sz w:val="24"/>
          <w:lang w:val="es-ES_tradnl"/>
        </w:rPr>
        <w:lastRenderedPageBreak/>
        <w:t xml:space="preserve">Disposición final de la Ley del Tercer Sector. </w:t>
      </w:r>
      <w:r w:rsidRPr="001D7AE1">
        <w:rPr>
          <w:sz w:val="24"/>
          <w:lang w:val="es-ES_tradnl"/>
        </w:rPr>
        <w:t>Esto distorsiona lo que deb</w:t>
      </w:r>
      <w:r w:rsidR="003846F3">
        <w:rPr>
          <w:sz w:val="24"/>
          <w:lang w:val="es-ES_tradnl"/>
        </w:rPr>
        <w:t>e ser la L</w:t>
      </w:r>
      <w:r>
        <w:rPr>
          <w:sz w:val="24"/>
          <w:lang w:val="es-ES_tradnl"/>
        </w:rPr>
        <w:t>ey del Tercer Sector, parece que se quiere cambiar la ley del voluntariado, pero que pase desapercibido</w:t>
      </w:r>
      <w:r>
        <w:rPr>
          <w:sz w:val="24"/>
          <w:lang w:val="es-ES_tradnl"/>
        </w:rPr>
        <w:t xml:space="preserve">. La modificación de la ley del voluntariado debe tener una tramitación específica. </w:t>
      </w:r>
    </w:p>
    <w:p w:rsidR="001B6530" w:rsidRDefault="001B6530" w:rsidP="001D7AE1">
      <w:pPr>
        <w:jc w:val="both"/>
        <w:rPr>
          <w:sz w:val="24"/>
          <w:lang w:val="es-ES_tradnl"/>
        </w:rPr>
      </w:pPr>
    </w:p>
    <w:p w:rsidR="009B5A36" w:rsidRDefault="009B5A36" w:rsidP="001D7AE1">
      <w:pPr>
        <w:jc w:val="both"/>
        <w:rPr>
          <w:b/>
          <w:sz w:val="24"/>
          <w:lang w:val="es-ES_tradnl"/>
        </w:rPr>
      </w:pPr>
    </w:p>
    <w:sectPr w:rsidR="009B5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62" w:rsidRDefault="00AC4462" w:rsidP="003D0AAF">
      <w:pPr>
        <w:spacing w:after="0" w:line="240" w:lineRule="auto"/>
      </w:pPr>
      <w:r>
        <w:separator/>
      </w:r>
    </w:p>
  </w:endnote>
  <w:endnote w:type="continuationSeparator" w:id="0">
    <w:p w:rsidR="00AC4462" w:rsidRDefault="00AC4462" w:rsidP="003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62" w:rsidRDefault="00AC4462" w:rsidP="003D0AAF">
      <w:pPr>
        <w:spacing w:after="0" w:line="240" w:lineRule="auto"/>
      </w:pPr>
      <w:r>
        <w:separator/>
      </w:r>
    </w:p>
  </w:footnote>
  <w:footnote w:type="continuationSeparator" w:id="0">
    <w:p w:rsidR="00AC4462" w:rsidRDefault="00AC4462" w:rsidP="003D0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E4"/>
    <w:rsid w:val="00023B60"/>
    <w:rsid w:val="00026A96"/>
    <w:rsid w:val="0003392A"/>
    <w:rsid w:val="000A7A7F"/>
    <w:rsid w:val="001523BA"/>
    <w:rsid w:val="001B6530"/>
    <w:rsid w:val="001C234B"/>
    <w:rsid w:val="001D7AE1"/>
    <w:rsid w:val="003846F3"/>
    <w:rsid w:val="003B1591"/>
    <w:rsid w:val="003D0AAF"/>
    <w:rsid w:val="004807C5"/>
    <w:rsid w:val="005025AA"/>
    <w:rsid w:val="006B6A3A"/>
    <w:rsid w:val="009326B5"/>
    <w:rsid w:val="00992DF2"/>
    <w:rsid w:val="009A4576"/>
    <w:rsid w:val="009A7F9F"/>
    <w:rsid w:val="009B5A36"/>
    <w:rsid w:val="00AC4462"/>
    <w:rsid w:val="00B35CAC"/>
    <w:rsid w:val="00B57FDD"/>
    <w:rsid w:val="00BB74CC"/>
    <w:rsid w:val="00BF4CE4"/>
    <w:rsid w:val="00C67154"/>
    <w:rsid w:val="00CA56D3"/>
    <w:rsid w:val="00CC34C6"/>
    <w:rsid w:val="00CF2DBF"/>
    <w:rsid w:val="00E41625"/>
    <w:rsid w:val="00E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AAF"/>
  </w:style>
  <w:style w:type="paragraph" w:styleId="Piedepgina">
    <w:name w:val="footer"/>
    <w:basedOn w:val="Normal"/>
    <w:link w:val="PiedepginaCar"/>
    <w:uiPriority w:val="99"/>
    <w:unhideWhenUsed/>
    <w:rsid w:val="003D0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AAF"/>
  </w:style>
  <w:style w:type="paragraph" w:styleId="Piedepgina">
    <w:name w:val="footer"/>
    <w:basedOn w:val="Normal"/>
    <w:link w:val="PiedepginaCar"/>
    <w:uiPriority w:val="99"/>
    <w:unhideWhenUsed/>
    <w:rsid w:val="003D0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2020-02-22T06:26:00Z</dcterms:created>
  <dcterms:modified xsi:type="dcterms:W3CDTF">2020-03-04T07:06:00Z</dcterms:modified>
</cp:coreProperties>
</file>