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E126F" w14:textId="6587B074" w:rsidR="00E55CEE" w:rsidRPr="001257D0" w:rsidRDefault="00E55CEE" w:rsidP="00E55CEE">
      <w:pPr>
        <w:jc w:val="center"/>
        <w:rPr>
          <w:b/>
          <w:bCs/>
          <w:lang w:val="es-ES_tradnl"/>
        </w:rPr>
      </w:pPr>
      <w:r w:rsidRPr="001257D0">
        <w:rPr>
          <w:b/>
          <w:bCs/>
          <w:lang w:val="es-ES_tradnl"/>
        </w:rPr>
        <w:t>PARTICIPA L</w:t>
      </w:r>
      <w:r w:rsidR="00DC5D7A">
        <w:rPr>
          <w:b/>
          <w:bCs/>
          <w:lang w:val="es-ES_tradnl"/>
        </w:rPr>
        <w:t xml:space="preserve">ey de </w:t>
      </w:r>
      <w:r w:rsidRPr="001257D0">
        <w:rPr>
          <w:b/>
          <w:bCs/>
          <w:lang w:val="es-ES_tradnl"/>
        </w:rPr>
        <w:t>S</w:t>
      </w:r>
      <w:r w:rsidR="00DC5D7A">
        <w:rPr>
          <w:b/>
          <w:bCs/>
          <w:lang w:val="es-ES_tradnl"/>
        </w:rPr>
        <w:t xml:space="preserve">alud </w:t>
      </w:r>
      <w:r w:rsidR="009F2DD4" w:rsidRPr="001257D0">
        <w:rPr>
          <w:b/>
          <w:bCs/>
          <w:lang w:val="es-ES_tradnl"/>
        </w:rPr>
        <w:t>P</w:t>
      </w:r>
      <w:r w:rsidR="009F2DD4">
        <w:rPr>
          <w:b/>
          <w:bCs/>
          <w:lang w:val="es-ES_tradnl"/>
        </w:rPr>
        <w:t>ública</w:t>
      </w:r>
      <w:r w:rsidR="00CE5A93">
        <w:rPr>
          <w:b/>
          <w:bCs/>
          <w:lang w:val="es-ES_tradnl"/>
        </w:rPr>
        <w:t xml:space="preserve"> de Castilla y León</w:t>
      </w:r>
      <w:bookmarkStart w:id="0" w:name="_GoBack"/>
      <w:bookmarkEnd w:id="0"/>
    </w:p>
    <w:p w14:paraId="65098309" w14:textId="2E7EB3FB" w:rsidR="00653917" w:rsidRPr="00DC5D7A" w:rsidRDefault="00653917" w:rsidP="00E55CEE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  <w:rPr>
          <w:rFonts w:ascii="Calibri" w:eastAsia="Calibri" w:hAnsi="Calibri" w:cs="Calibri"/>
          <w:sz w:val="24"/>
        </w:rPr>
      </w:pPr>
      <w:r>
        <w:t xml:space="preserve">Con el objetivo de potenciar y proteger el mayor nivel posible de la salud de la población es necesario potenciar el trabajo colaborativo entre las administraciones públicas en materia de salud y bienestar de la población, incluyendo los ámbitos centrados en la </w:t>
      </w:r>
      <w:r w:rsidRPr="00034E3D">
        <w:rPr>
          <w:u w:val="single"/>
        </w:rPr>
        <w:t>salud animal, salud alimentaria y salud ambiental</w:t>
      </w:r>
      <w:r w:rsidR="00034E3D">
        <w:t xml:space="preserve">, pero también en aspectos tan importantes como </w:t>
      </w:r>
      <w:r w:rsidR="00034E3D" w:rsidRPr="00034E3D">
        <w:rPr>
          <w:u w:val="single"/>
        </w:rPr>
        <w:t>la promoción de la salud y el bienestar de la población</w:t>
      </w:r>
      <w:r w:rsidR="00034E3D">
        <w:t>, con las intervenciones dirigidas a incrementar los conocimientos y capacidades de las personas, así como a modificar las condiciones sociales, laborales, ambientales y económicas, con el fin de favorecer su impacto positivo en la salud tanto individual como colectiva.</w:t>
      </w:r>
    </w:p>
    <w:p w14:paraId="7E727C80" w14:textId="77777777" w:rsidR="00DC5D7A" w:rsidRPr="00034E3D" w:rsidRDefault="00DC5D7A" w:rsidP="00DC5D7A">
      <w:pPr>
        <w:pStyle w:val="Prrafodelista"/>
        <w:spacing w:after="120" w:line="240" w:lineRule="auto"/>
        <w:ind w:right="-709"/>
        <w:jc w:val="both"/>
        <w:rPr>
          <w:rFonts w:ascii="Calibri" w:eastAsia="Calibri" w:hAnsi="Calibri" w:cs="Calibri"/>
          <w:sz w:val="24"/>
        </w:rPr>
      </w:pPr>
    </w:p>
    <w:p w14:paraId="3DA71B98" w14:textId="1AAEC786" w:rsidR="00034E3D" w:rsidRDefault="00034E3D" w:rsidP="00E55CEE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  <w:rPr>
          <w:rFonts w:ascii="Calibri" w:eastAsia="Calibri" w:hAnsi="Calibri" w:cs="Calibri"/>
          <w:sz w:val="24"/>
        </w:rPr>
      </w:pPr>
      <w:r w:rsidRPr="00034E3D">
        <w:t xml:space="preserve">La ciudadanía debe participar en la protección de su propia salud, por ello se debería hacer más partícipe en el desarrollo de las políticas de Salud Pública. Considerando, además la </w:t>
      </w:r>
      <w:r w:rsidRPr="00034E3D">
        <w:rPr>
          <w:u w:val="single"/>
        </w:rPr>
        <w:t>Educación Sanitaria</w:t>
      </w:r>
      <w:r w:rsidRPr="00034E3D">
        <w:t xml:space="preserve"> como uno de los pilares fundamentales para alcanzar el objetivo de potenciar y proteger el nivel de salud de la población</w:t>
      </w:r>
      <w:r>
        <w:rPr>
          <w:rFonts w:ascii="Calibri" w:eastAsia="Calibri" w:hAnsi="Calibri" w:cs="Calibri"/>
          <w:sz w:val="24"/>
        </w:rPr>
        <w:t>.</w:t>
      </w:r>
    </w:p>
    <w:p w14:paraId="6F14013F" w14:textId="77777777" w:rsidR="00DC5D7A" w:rsidRPr="00653917" w:rsidRDefault="00DC5D7A" w:rsidP="00DC5D7A">
      <w:pPr>
        <w:pStyle w:val="Prrafodelista"/>
        <w:spacing w:after="120" w:line="240" w:lineRule="auto"/>
        <w:ind w:right="-709"/>
        <w:jc w:val="both"/>
        <w:rPr>
          <w:rFonts w:ascii="Calibri" w:eastAsia="Calibri" w:hAnsi="Calibri" w:cs="Calibri"/>
          <w:sz w:val="24"/>
        </w:rPr>
      </w:pPr>
    </w:p>
    <w:p w14:paraId="48D8FFE4" w14:textId="77777777" w:rsidR="00DC5D7A" w:rsidRDefault="00034E3D" w:rsidP="00E55CEE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</w:pPr>
      <w:r w:rsidRPr="00076864">
        <w:t xml:space="preserve">Respecto a los </w:t>
      </w:r>
      <w:r w:rsidRPr="00076864">
        <w:rPr>
          <w:u w:val="single"/>
        </w:rPr>
        <w:t>profesionales sanitarios de la salud pública</w:t>
      </w:r>
      <w:r w:rsidRPr="00076864">
        <w:t>, tienen que trabajar en equipos multidisciplinares, estar lo suficientemente capacitado y recibir una formación continua de calidad</w:t>
      </w:r>
      <w:r w:rsidR="00417F94" w:rsidRPr="00076864">
        <w:t xml:space="preserve">, </w:t>
      </w:r>
      <w:r w:rsidR="00417F94">
        <w:t>adecuada a su nivel de responsabilidad y competencia para garantizar un correcto ejercicio profesional a lo largo de su desempeño profesional.</w:t>
      </w:r>
      <w:r w:rsidR="00DC5D7A">
        <w:t xml:space="preserve"> </w:t>
      </w:r>
    </w:p>
    <w:p w14:paraId="1B53F55E" w14:textId="77777777" w:rsidR="00DC5D7A" w:rsidRDefault="00DC5D7A" w:rsidP="00DC5D7A">
      <w:pPr>
        <w:pStyle w:val="Prrafodelista"/>
        <w:spacing w:after="120" w:line="240" w:lineRule="auto"/>
        <w:ind w:right="-709"/>
        <w:jc w:val="both"/>
      </w:pPr>
    </w:p>
    <w:p w14:paraId="720721C6" w14:textId="62402658" w:rsidR="00653917" w:rsidRDefault="00DC5D7A" w:rsidP="00DC5D7A">
      <w:pPr>
        <w:pStyle w:val="Prrafodelista"/>
        <w:spacing w:after="120" w:line="240" w:lineRule="auto"/>
        <w:ind w:right="-709"/>
        <w:jc w:val="both"/>
      </w:pPr>
      <w:r>
        <w:t xml:space="preserve">Estos equipos multidisciplinares deberían estar </w:t>
      </w:r>
      <w:r w:rsidRPr="00DC5D7A">
        <w:rPr>
          <w:u w:val="single"/>
        </w:rPr>
        <w:t>coordinados por un profesional sanitario</w:t>
      </w:r>
      <w:r>
        <w:t xml:space="preserve"> y trabajar en las distintas áreas que componen la Salud Pública, no ceñirse a la Seguridad Alimentaria, que si bien es importante es solo una parte de la Salud Pública.</w:t>
      </w:r>
    </w:p>
    <w:p w14:paraId="2B78647A" w14:textId="77777777" w:rsidR="00DC5D7A" w:rsidRPr="00076864" w:rsidRDefault="00DC5D7A" w:rsidP="00DC5D7A">
      <w:pPr>
        <w:pStyle w:val="Prrafodelista"/>
        <w:spacing w:after="120" w:line="240" w:lineRule="auto"/>
        <w:ind w:right="-709"/>
        <w:jc w:val="both"/>
      </w:pPr>
    </w:p>
    <w:p w14:paraId="3ACD627F" w14:textId="74157507" w:rsidR="00417F94" w:rsidRDefault="00417F94" w:rsidP="00076864">
      <w:pPr>
        <w:pStyle w:val="Prrafodelista"/>
        <w:spacing w:after="120" w:line="240" w:lineRule="auto"/>
        <w:ind w:right="-709"/>
        <w:jc w:val="both"/>
      </w:pPr>
      <w:r>
        <w:t xml:space="preserve">Los profesionales sanitarios de </w:t>
      </w:r>
      <w:r w:rsidR="00DC5D7A">
        <w:t>S</w:t>
      </w:r>
      <w:r>
        <w:t xml:space="preserve">alud </w:t>
      </w:r>
      <w:r w:rsidR="00DC5D7A">
        <w:t>P</w:t>
      </w:r>
      <w:r>
        <w:t xml:space="preserve">ública </w:t>
      </w:r>
      <w:r w:rsidR="00076864">
        <w:t>deben tener</w:t>
      </w:r>
      <w:r>
        <w:t xml:space="preserve"> </w:t>
      </w:r>
      <w:r w:rsidRPr="00DC5D7A">
        <w:rPr>
          <w:u w:val="single"/>
        </w:rPr>
        <w:t xml:space="preserve">competencia </w:t>
      </w:r>
      <w:r>
        <w:t>entre otras en:</w:t>
      </w:r>
    </w:p>
    <w:p w14:paraId="644B635F" w14:textId="38068384" w:rsidR="00417F94" w:rsidRDefault="00417F94" w:rsidP="00DC5D7A">
      <w:pPr>
        <w:pStyle w:val="Prrafodelista"/>
        <w:numPr>
          <w:ilvl w:val="0"/>
          <w:numId w:val="8"/>
        </w:numPr>
        <w:jc w:val="both"/>
      </w:pPr>
      <w:r>
        <w:t xml:space="preserve">Producir y comunicar de manera eficaz la información relevante para la salud pública, y participar en los programas de educación para la salud que sean pertinentes. </w:t>
      </w:r>
    </w:p>
    <w:p w14:paraId="3B301AC3" w14:textId="6F9D7EC8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 xml:space="preserve">Colaborar en la ordenación del sistema de salud mediante la utilización de información sobre problemas y necesidades de salud; el establecimiento de prioridades en salud; la formulación de objetivos en salud; el análisis de políticas de salud y la evaluación de sistemas y políticas. </w:t>
      </w:r>
    </w:p>
    <w:p w14:paraId="3F7F9038" w14:textId="556C64AD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 xml:space="preserve">Llevar a cabo inspecciones y auditorías sanitarias. </w:t>
      </w:r>
    </w:p>
    <w:p w14:paraId="1BCC84F8" w14:textId="3227B00F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 xml:space="preserve">Intervenir en </w:t>
      </w:r>
      <w:r w:rsidRPr="00417F94">
        <w:rPr>
          <w:u w:val="single"/>
        </w:rPr>
        <w:t>seguridad alimentaria</w:t>
      </w:r>
    </w:p>
    <w:p w14:paraId="1015E2A8" w14:textId="7160F7A3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 xml:space="preserve">Valorar la distribución de los </w:t>
      </w:r>
      <w:r w:rsidRPr="00417F94">
        <w:rPr>
          <w:u w:val="single"/>
        </w:rPr>
        <w:t>riesgos ambientales y biológicos</w:t>
      </w:r>
      <w:r w:rsidRPr="00417F94">
        <w:t xml:space="preserve"> </w:t>
      </w:r>
      <w:r>
        <w:t xml:space="preserve">y desempeñar actuaciones en </w:t>
      </w:r>
      <w:r w:rsidRPr="00417F94">
        <w:rPr>
          <w:u w:val="single"/>
        </w:rPr>
        <w:t>sanidad ambiental</w:t>
      </w:r>
      <w:r>
        <w:t xml:space="preserve"> mediante la atención a los determinantes ambientales de la salud y la adopción de medidas de control y promoción de mejora de estos.</w:t>
      </w:r>
    </w:p>
    <w:p w14:paraId="32A5023A" w14:textId="300913E3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 xml:space="preserve">Realizar actuaciones en </w:t>
      </w:r>
      <w:r w:rsidRPr="00417F94">
        <w:rPr>
          <w:u w:val="single"/>
        </w:rPr>
        <w:t>salud laboral</w:t>
      </w:r>
      <w:r>
        <w:t xml:space="preserve">, orientadas a promover y proteger la salud de las y los trabajadores, sin perjuicio de las funciones atribuidas a la autoridad laboral competente. </w:t>
      </w:r>
    </w:p>
    <w:p w14:paraId="35A1D1AF" w14:textId="0756D1B8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 xml:space="preserve">Fomentar la defensa de la salud en las políticas intersectoriales e </w:t>
      </w:r>
      <w:r w:rsidRPr="00417F94">
        <w:rPr>
          <w:u w:val="single"/>
        </w:rPr>
        <w:t>identificar los factores sociales y culturales de la salud</w:t>
      </w:r>
      <w:r>
        <w:t xml:space="preserve"> e interactuar de manera apropiada y eficaz con profesionales y personas. </w:t>
      </w:r>
    </w:p>
    <w:p w14:paraId="228BA7F7" w14:textId="77777777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 xml:space="preserve">Contribuir a diseñar y poner en marcha </w:t>
      </w:r>
      <w:r w:rsidRPr="00417F94">
        <w:rPr>
          <w:u w:val="single"/>
        </w:rPr>
        <w:t>programas e intervenciones sanitarias</w:t>
      </w:r>
      <w:r>
        <w:t xml:space="preserve"> y de salud pública y gestionar programas incluyendo sus recursos, organización y evaluación. </w:t>
      </w:r>
    </w:p>
    <w:p w14:paraId="2362DA9A" w14:textId="77777777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lastRenderedPageBreak/>
        <w:t xml:space="preserve">Todas aquellas que se consideren necesarias para la coordinación y colaboración con los servicios sanitarios, a fin de conseguir una atención integral de la salud. </w:t>
      </w:r>
    </w:p>
    <w:p w14:paraId="0883D6AF" w14:textId="77777777" w:rsidR="00417F94" w:rsidRDefault="00417F94" w:rsidP="00417F94">
      <w:pPr>
        <w:pStyle w:val="Prrafodelista"/>
        <w:numPr>
          <w:ilvl w:val="0"/>
          <w:numId w:val="8"/>
        </w:numPr>
        <w:jc w:val="both"/>
      </w:pPr>
      <w:r w:rsidRPr="00417F94">
        <w:rPr>
          <w:u w:val="single"/>
        </w:rPr>
        <w:t>Evaluar</w:t>
      </w:r>
      <w:r>
        <w:t xml:space="preserve"> el impacto sanitario de las políticas públicas, así como de servicios y programas. </w:t>
      </w:r>
    </w:p>
    <w:p w14:paraId="5FC9BCD3" w14:textId="43710D62" w:rsidR="00417F94" w:rsidRDefault="00417F94" w:rsidP="00417F94">
      <w:pPr>
        <w:pStyle w:val="Prrafodelista"/>
        <w:numPr>
          <w:ilvl w:val="0"/>
          <w:numId w:val="8"/>
        </w:numPr>
        <w:jc w:val="both"/>
      </w:pPr>
      <w:r w:rsidRPr="00417F94">
        <w:rPr>
          <w:u w:val="single"/>
        </w:rPr>
        <w:t>Fomentar y reforzar la implicación, el compromiso y el control de la ciudadanía sobre su propia salud</w:t>
      </w:r>
      <w:r>
        <w:t>.</w:t>
      </w:r>
    </w:p>
    <w:p w14:paraId="31156B27" w14:textId="1E027831" w:rsidR="00417F94" w:rsidRDefault="00417F94" w:rsidP="00417F94">
      <w:pPr>
        <w:pStyle w:val="Prrafodelista"/>
        <w:numPr>
          <w:ilvl w:val="0"/>
          <w:numId w:val="8"/>
        </w:numPr>
        <w:jc w:val="both"/>
      </w:pPr>
      <w:r>
        <w:t>Establecer directrices, y elaborar guías y protocolos.</w:t>
      </w:r>
    </w:p>
    <w:p w14:paraId="35CD0C99" w14:textId="77777777" w:rsidR="00DC5D7A" w:rsidRDefault="00DC5D7A" w:rsidP="00DC5D7A">
      <w:pPr>
        <w:pStyle w:val="Prrafodelista"/>
        <w:ind w:left="1428"/>
        <w:jc w:val="both"/>
      </w:pPr>
    </w:p>
    <w:p w14:paraId="4D070239" w14:textId="77777777" w:rsidR="00076864" w:rsidRDefault="00417F94" w:rsidP="00076864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</w:pPr>
      <w:r>
        <w:t xml:space="preserve">Dado el carácter global y multidisciplinar de la salud pública sería necesario establecer </w:t>
      </w:r>
      <w:r w:rsidRPr="00DC5D7A">
        <w:t xml:space="preserve">una </w:t>
      </w:r>
      <w:r w:rsidR="00076864" w:rsidRPr="00076864">
        <w:rPr>
          <w:u w:val="single"/>
        </w:rPr>
        <w:t>Red de Vigilancia de la Salud Pública</w:t>
      </w:r>
      <w:r w:rsidR="00076864">
        <w:t xml:space="preserve"> que englobe todos los aspectos de esta. Que permita, entre otros:</w:t>
      </w:r>
    </w:p>
    <w:p w14:paraId="5DF71970" w14:textId="77777777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La elaboración, desarrollo y gestión de </w:t>
      </w:r>
      <w:r w:rsidRPr="00647FA4">
        <w:t xml:space="preserve">los </w:t>
      </w:r>
      <w:r w:rsidRPr="00647FA4">
        <w:rPr>
          <w:u w:val="single"/>
        </w:rPr>
        <w:t>sistemas de información</w:t>
      </w:r>
      <w:r>
        <w:t xml:space="preserve"> para la medición del estado de salud de la población y sus causas.</w:t>
      </w:r>
    </w:p>
    <w:p w14:paraId="2DFA256E" w14:textId="77777777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El análisis epidemiológico de los principales problemas de salud y sus determinantes a partir de las características de las personas, de su distribución geográfica y de su tendencia temporal en un nivel de desagregación mínimo. </w:t>
      </w:r>
    </w:p>
    <w:p w14:paraId="2F9D983C" w14:textId="3CD7D57F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La </w:t>
      </w:r>
      <w:r w:rsidRPr="00647FA4">
        <w:rPr>
          <w:u w:val="single"/>
        </w:rPr>
        <w:t>monitorización de las desigualdades</w:t>
      </w:r>
      <w:r>
        <w:t xml:space="preserve"> en la salud </w:t>
      </w:r>
    </w:p>
    <w:p w14:paraId="3401AB91" w14:textId="77777777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>El control de los riesgos ambientales, de la presencia de agentes contaminantes y perjudiciales en el medio ambiente y de sus efectos en la salud, así como la elaboración de mapas de riesgos ambientales.</w:t>
      </w:r>
    </w:p>
    <w:p w14:paraId="6B6C47B7" w14:textId="1B4E77FB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>La vigilancia de los riesgos alimentarios</w:t>
      </w:r>
    </w:p>
    <w:p w14:paraId="11E7EAE7" w14:textId="3596FF0B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Los sistemas de alerta y detección precoz de situaciones </w:t>
      </w:r>
      <w:r w:rsidR="00647FA4">
        <w:t>epidémicas.</w:t>
      </w:r>
    </w:p>
    <w:p w14:paraId="3C165A76" w14:textId="7193EB66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>La monitorización de las enfermedades transmisibles</w:t>
      </w:r>
    </w:p>
    <w:p w14:paraId="56F6417A" w14:textId="25A93600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El seguimiento de las enfermedades infecciosas emergentes </w:t>
      </w:r>
    </w:p>
    <w:p w14:paraId="6988A542" w14:textId="77777777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>La vigilancia de las resistencias antimicrobianas y de las infecciones relacionadas con la asistencia sanitaria.</w:t>
      </w:r>
    </w:p>
    <w:p w14:paraId="2FA6E149" w14:textId="43DA20E8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La monitorización de las enfermedades no transmisibles </w:t>
      </w:r>
    </w:p>
    <w:p w14:paraId="168A0029" w14:textId="77777777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>El seguimiento de las lesiones y daño causados bien de manera accidental o intencionada por agresión o violencia, así como de sus efectos en la salud.</w:t>
      </w:r>
    </w:p>
    <w:p w14:paraId="446048DB" w14:textId="77777777" w:rsid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La vigilancia de los riesgos derivados de tóxicos, de drogas y de conductas susceptibles de generar </w:t>
      </w:r>
      <w:r w:rsidRPr="00647FA4">
        <w:rPr>
          <w:u w:val="single"/>
        </w:rPr>
        <w:t>adicciones</w:t>
      </w:r>
      <w:r>
        <w:t xml:space="preserve">. </w:t>
      </w:r>
    </w:p>
    <w:p w14:paraId="662A756E" w14:textId="43A5A2B8" w:rsidR="00076864" w:rsidRPr="00076864" w:rsidRDefault="00076864" w:rsidP="00076864">
      <w:pPr>
        <w:pStyle w:val="Prrafodelista"/>
        <w:numPr>
          <w:ilvl w:val="1"/>
          <w:numId w:val="4"/>
        </w:numPr>
        <w:spacing w:after="120" w:line="240" w:lineRule="auto"/>
        <w:ind w:right="-709"/>
        <w:jc w:val="both"/>
      </w:pPr>
      <w:r>
        <w:t xml:space="preserve">La vigilancia de los </w:t>
      </w:r>
      <w:r w:rsidRPr="00647FA4">
        <w:rPr>
          <w:u w:val="single"/>
        </w:rPr>
        <w:t>riesgos laborales</w:t>
      </w:r>
      <w:r>
        <w:t xml:space="preserve"> y sus efectos en la salud</w:t>
      </w:r>
    </w:p>
    <w:p w14:paraId="32ED8034" w14:textId="77777777" w:rsidR="00076864" w:rsidRDefault="00076864" w:rsidP="00076864">
      <w:pPr>
        <w:pStyle w:val="Prrafodelista"/>
        <w:spacing w:after="120" w:line="240" w:lineRule="auto"/>
        <w:ind w:right="-709"/>
        <w:jc w:val="both"/>
      </w:pPr>
    </w:p>
    <w:p w14:paraId="6E0DA7D9" w14:textId="4AFE7546" w:rsidR="00F94280" w:rsidRDefault="00F94280" w:rsidP="00076864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</w:pPr>
      <w:r>
        <w:t>Establecer un sistema de Alertas de Salud Pública donde se incluya a los distintos profesionales sanitarios de Salud Pública, integrando las actuales la Red de Alertas Farmacéuticas, Red de Alerta Rápida Alimentaria, Red de Alerta Rápida de Sanidad Ambiental de Castilla y León y la Red de Vigilancia Epidemiológica.</w:t>
      </w:r>
    </w:p>
    <w:p w14:paraId="45D35055" w14:textId="77777777" w:rsidR="00F94280" w:rsidRDefault="00F94280" w:rsidP="00F94280">
      <w:pPr>
        <w:pStyle w:val="Prrafodelista"/>
        <w:spacing w:after="120" w:line="240" w:lineRule="auto"/>
        <w:ind w:right="-709"/>
        <w:jc w:val="both"/>
      </w:pPr>
    </w:p>
    <w:p w14:paraId="449D3F20" w14:textId="288AC0A8" w:rsidR="00417F94" w:rsidRDefault="00076864" w:rsidP="00076864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</w:pPr>
      <w:r>
        <w:t xml:space="preserve">Así mismo, es necesario establecer un sistema de coordinación, cooperación e interacción entre el </w:t>
      </w:r>
      <w:r w:rsidR="00DC5D7A" w:rsidRPr="00F94280">
        <w:t>S</w:t>
      </w:r>
      <w:r w:rsidRPr="00F94280">
        <w:t>i</w:t>
      </w:r>
      <w:r>
        <w:t xml:space="preserve">stema de </w:t>
      </w:r>
      <w:r w:rsidR="00DC5D7A">
        <w:t>S</w:t>
      </w:r>
      <w:r>
        <w:t xml:space="preserve">alud asistencial de Castilla y León y el </w:t>
      </w:r>
      <w:r w:rsidR="00DC5D7A">
        <w:t>S</w:t>
      </w:r>
      <w:r>
        <w:t>istema de Salud Pública que tendrá por objetivos, como mínimo, las actuaciones de protección y promoción de la salud, de prevención de la enfermedad, de educación para la salud, de vigilancia de la salud y de abordaje de emergencias sanitarias. Es importante un sistema de evaluación que permita mejorar esta coordinación y cooperación.</w:t>
      </w:r>
    </w:p>
    <w:p w14:paraId="4CDC2B1B" w14:textId="77777777" w:rsidR="00DC5D7A" w:rsidRDefault="00DC5D7A" w:rsidP="00DC5D7A">
      <w:pPr>
        <w:pStyle w:val="Prrafodelista"/>
        <w:spacing w:after="120" w:line="240" w:lineRule="auto"/>
        <w:ind w:right="-709"/>
        <w:jc w:val="both"/>
      </w:pPr>
    </w:p>
    <w:p w14:paraId="657FAB6A" w14:textId="66B15460" w:rsidR="001257D0" w:rsidRDefault="00076864" w:rsidP="001257D0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</w:pPr>
      <w:r>
        <w:t>Las competencias de sistema de Salud Pública de Castilla y León deberían incluir</w:t>
      </w:r>
      <w:r w:rsidR="00647FA4">
        <w:t>, además de las que ya refleja actualmente la Ley 10/2010</w:t>
      </w:r>
      <w:r w:rsidR="00647FA4" w:rsidRPr="00647FA4">
        <w:t xml:space="preserve"> de 27 de septiembre, de Salud Pública y Seguridad Alimentaria de Castilla y León</w:t>
      </w:r>
      <w:r w:rsidR="00647FA4">
        <w:t xml:space="preserve">, la </w:t>
      </w:r>
      <w:r w:rsidR="00364D7A" w:rsidRPr="00364D7A">
        <w:rPr>
          <w:u w:val="single"/>
        </w:rPr>
        <w:t>salud escolar y las adicciones</w:t>
      </w:r>
      <w:r w:rsidR="00364D7A">
        <w:t xml:space="preserve">, así como un mayor desarrollo de las áreas de </w:t>
      </w:r>
      <w:r w:rsidR="00364D7A" w:rsidRPr="00364D7A">
        <w:rPr>
          <w:u w:val="single"/>
        </w:rPr>
        <w:t>la sa</w:t>
      </w:r>
      <w:r w:rsidR="00364D7A">
        <w:rPr>
          <w:u w:val="single"/>
        </w:rPr>
        <w:t>nidad</w:t>
      </w:r>
      <w:r w:rsidR="00364D7A" w:rsidRPr="00364D7A">
        <w:rPr>
          <w:u w:val="single"/>
        </w:rPr>
        <w:t xml:space="preserve"> ambiental</w:t>
      </w:r>
      <w:r w:rsidR="00364D7A">
        <w:t>, promoción de la salud y salud laboral.</w:t>
      </w:r>
    </w:p>
    <w:p w14:paraId="3CEB1C53" w14:textId="77777777" w:rsidR="001257D0" w:rsidRDefault="001257D0" w:rsidP="00F94280">
      <w:pPr>
        <w:pStyle w:val="Prrafodelista"/>
        <w:spacing w:after="120" w:line="240" w:lineRule="auto"/>
        <w:ind w:right="-709"/>
        <w:jc w:val="both"/>
      </w:pPr>
    </w:p>
    <w:p w14:paraId="7A729513" w14:textId="5579464C" w:rsidR="00C71E6C" w:rsidRDefault="00F94280" w:rsidP="001257D0">
      <w:pPr>
        <w:pStyle w:val="Prrafodelista"/>
        <w:spacing w:after="120" w:line="240" w:lineRule="auto"/>
        <w:ind w:right="-709"/>
        <w:jc w:val="both"/>
      </w:pPr>
      <w:r w:rsidRPr="00F94280">
        <w:rPr>
          <w:u w:val="single"/>
        </w:rPr>
        <w:lastRenderedPageBreak/>
        <w:t>Educación escolar</w:t>
      </w:r>
      <w:r>
        <w:t xml:space="preserve">: </w:t>
      </w:r>
      <w:r w:rsidR="00C71E6C">
        <w:t>Deberían llevarse a cabo actuaciones de prevención y promoción de la salud, en los centros de educación infantil, educación primaria, educación secundaria, formación profesional y otros centros educativos, incluidas las universidades y centros de educación superior, con la finalidad de que dichos centros integren en su proyecto educativo la promoción de la salud y faciliten la adopción, por toda la comunidad educativa, de modos de vida sanos en un ambiente favorable a la salud.</w:t>
      </w:r>
    </w:p>
    <w:p w14:paraId="1BC6D923" w14:textId="77777777" w:rsidR="00C71E6C" w:rsidRDefault="00C71E6C" w:rsidP="00C71E6C">
      <w:pPr>
        <w:pStyle w:val="Prrafodelista"/>
        <w:spacing w:after="120" w:line="240" w:lineRule="auto"/>
        <w:ind w:right="-709"/>
        <w:jc w:val="both"/>
      </w:pPr>
    </w:p>
    <w:p w14:paraId="236C5FD7" w14:textId="76E24C64" w:rsidR="00C71E6C" w:rsidRDefault="00C71E6C" w:rsidP="00C71E6C">
      <w:pPr>
        <w:pStyle w:val="Prrafodelista"/>
        <w:spacing w:after="120" w:line="240" w:lineRule="auto"/>
        <w:ind w:right="-709"/>
        <w:jc w:val="both"/>
      </w:pPr>
      <w:r>
        <w:t xml:space="preserve">Respecto a las </w:t>
      </w:r>
      <w:r w:rsidRPr="00F94280">
        <w:rPr>
          <w:u w:val="single"/>
        </w:rPr>
        <w:t>adicciones</w:t>
      </w:r>
      <w:r>
        <w:t xml:space="preserve"> se debería asegurar la protección de la salud, impulsa</w:t>
      </w:r>
      <w:r w:rsidR="001257D0">
        <w:t>ndo</w:t>
      </w:r>
      <w:r>
        <w:t xml:space="preserve"> y desarrolla</w:t>
      </w:r>
      <w:r w:rsidR="001257D0">
        <w:t>ndo</w:t>
      </w:r>
      <w:r>
        <w:t xml:space="preserve"> medidas y actuaciones dirigidas a la atención integral de las adicciones, tanto de las drogodependencias como de las </w:t>
      </w:r>
      <w:r w:rsidRPr="001257D0">
        <w:rPr>
          <w:u w:val="single"/>
        </w:rPr>
        <w:t>adicciones comportamentales</w:t>
      </w:r>
      <w:r>
        <w:t>, en lo relativo a la prevención, reducción de la oferta, asistencia sanitaria y socio sanitaria, inclusión social, desarrollo y gestión del conocimiento</w:t>
      </w:r>
      <w:r w:rsidR="001257D0">
        <w:t>.</w:t>
      </w:r>
    </w:p>
    <w:p w14:paraId="191B1BD1" w14:textId="77777777" w:rsidR="001257D0" w:rsidRDefault="001257D0" w:rsidP="00C71E6C">
      <w:pPr>
        <w:pStyle w:val="Prrafodelista"/>
        <w:spacing w:after="120" w:line="240" w:lineRule="auto"/>
        <w:ind w:right="-709"/>
        <w:jc w:val="both"/>
      </w:pPr>
    </w:p>
    <w:p w14:paraId="22AA81E8" w14:textId="0C95D245" w:rsidR="001257D0" w:rsidRDefault="001257D0" w:rsidP="001257D0">
      <w:pPr>
        <w:pStyle w:val="Prrafodelista"/>
        <w:numPr>
          <w:ilvl w:val="0"/>
          <w:numId w:val="4"/>
        </w:numPr>
        <w:spacing w:after="120" w:line="240" w:lineRule="auto"/>
        <w:ind w:right="-709"/>
        <w:jc w:val="both"/>
      </w:pPr>
      <w:r>
        <w:t xml:space="preserve">Respecto a </w:t>
      </w:r>
      <w:r w:rsidRPr="001257D0">
        <w:rPr>
          <w:b/>
          <w:bCs/>
          <w:u w:val="single"/>
        </w:rPr>
        <w:t xml:space="preserve">la formación de los profesionales sanitarios de </w:t>
      </w:r>
      <w:r>
        <w:rPr>
          <w:b/>
          <w:bCs/>
          <w:u w:val="single"/>
        </w:rPr>
        <w:t>S</w:t>
      </w:r>
      <w:r w:rsidRPr="001257D0">
        <w:rPr>
          <w:b/>
          <w:bCs/>
          <w:u w:val="single"/>
        </w:rPr>
        <w:t xml:space="preserve">alud </w:t>
      </w:r>
      <w:r>
        <w:rPr>
          <w:b/>
          <w:bCs/>
          <w:u w:val="single"/>
        </w:rPr>
        <w:t>P</w:t>
      </w:r>
      <w:r w:rsidRPr="001257D0">
        <w:rPr>
          <w:b/>
          <w:bCs/>
          <w:u w:val="single"/>
        </w:rPr>
        <w:t>ública</w:t>
      </w:r>
      <w:r>
        <w:t>.</w:t>
      </w:r>
    </w:p>
    <w:p w14:paraId="3630BE91" w14:textId="77777777" w:rsidR="001257D0" w:rsidRDefault="001257D0" w:rsidP="00C71E6C">
      <w:pPr>
        <w:pStyle w:val="Prrafodelista"/>
        <w:spacing w:after="120" w:line="240" w:lineRule="auto"/>
        <w:ind w:right="-709"/>
        <w:jc w:val="both"/>
      </w:pPr>
      <w:r>
        <w:t xml:space="preserve">Atendiendo al carácter multidisciplinar de la salud pública, sus profesionales tienen el deber de seguir a lo largo de la vida laboral una formación continua, que además deberá ser adecuada a su nivel de responsabilidad y competencia para garantizar un correcto ejercicio profesional. </w:t>
      </w:r>
    </w:p>
    <w:p w14:paraId="63F702D4" w14:textId="77777777" w:rsidR="001257D0" w:rsidRDefault="001257D0" w:rsidP="00C71E6C">
      <w:pPr>
        <w:pStyle w:val="Prrafodelista"/>
        <w:spacing w:after="120" w:line="240" w:lineRule="auto"/>
        <w:ind w:right="-709"/>
        <w:jc w:val="both"/>
      </w:pPr>
    </w:p>
    <w:p w14:paraId="3E451D20" w14:textId="22DD4546" w:rsidR="001257D0" w:rsidRDefault="001257D0" w:rsidP="001257D0">
      <w:pPr>
        <w:pStyle w:val="Prrafodelista"/>
        <w:spacing w:after="120" w:line="240" w:lineRule="auto"/>
        <w:ind w:right="-709"/>
        <w:jc w:val="both"/>
      </w:pPr>
      <w:r>
        <w:t xml:space="preserve">La Administración autonómica debería fomentar el desarrollo de oportunidades formativas especializadas y de calidad elaborando programas de formación continua para los profesionales de salud pública. </w:t>
      </w:r>
      <w:r w:rsidR="00DC5D7A">
        <w:t>Podría establecer programas formativos de grado y postgrado en colaboración con las Universidades de Castilla y León así como con otras entidades académicas, con el fin de fortalecer la capacidad multidisciplinar profesional en salud pública.</w:t>
      </w:r>
    </w:p>
    <w:p w14:paraId="1EA3E233" w14:textId="77777777" w:rsidR="00DC5D7A" w:rsidRDefault="00DC5D7A" w:rsidP="001257D0">
      <w:pPr>
        <w:pStyle w:val="Prrafodelista"/>
        <w:spacing w:after="120" w:line="240" w:lineRule="auto"/>
        <w:ind w:right="-709"/>
        <w:jc w:val="both"/>
      </w:pPr>
    </w:p>
    <w:p w14:paraId="3918CF9B" w14:textId="77777777" w:rsidR="001257D0" w:rsidRDefault="001257D0" w:rsidP="00C71E6C">
      <w:pPr>
        <w:pStyle w:val="Prrafodelista"/>
        <w:spacing w:after="120" w:line="240" w:lineRule="auto"/>
        <w:ind w:right="-709"/>
        <w:jc w:val="both"/>
      </w:pPr>
    </w:p>
    <w:p w14:paraId="4A4FCEC9" w14:textId="77777777" w:rsidR="00076864" w:rsidRPr="00076864" w:rsidRDefault="00076864" w:rsidP="00076864">
      <w:pPr>
        <w:spacing w:after="120" w:line="240" w:lineRule="auto"/>
        <w:ind w:left="360" w:right="-709"/>
        <w:jc w:val="both"/>
      </w:pPr>
    </w:p>
    <w:p w14:paraId="659D8459" w14:textId="77777777" w:rsidR="00034E3D" w:rsidRPr="00034E3D" w:rsidRDefault="00034E3D" w:rsidP="00034E3D">
      <w:pPr>
        <w:spacing w:after="120" w:line="240" w:lineRule="auto"/>
        <w:ind w:right="-709"/>
        <w:jc w:val="both"/>
        <w:rPr>
          <w:rFonts w:ascii="Calibri" w:eastAsia="Calibri" w:hAnsi="Calibri" w:cs="Calibri"/>
          <w:sz w:val="24"/>
        </w:rPr>
      </w:pPr>
    </w:p>
    <w:p w14:paraId="76F1A1BA" w14:textId="77777777" w:rsidR="00E55CEE" w:rsidRPr="00E55CEE" w:rsidRDefault="00E55CEE" w:rsidP="00E55CEE">
      <w:pPr>
        <w:rPr>
          <w:lang w:val="es-ES_tradnl"/>
        </w:rPr>
      </w:pPr>
    </w:p>
    <w:sectPr w:rsidR="00E55CEE" w:rsidRPr="00E55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DE8"/>
    <w:multiLevelType w:val="hybridMultilevel"/>
    <w:tmpl w:val="A524FE56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1FA6156"/>
    <w:multiLevelType w:val="hybridMultilevel"/>
    <w:tmpl w:val="93AA88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4ADF"/>
    <w:multiLevelType w:val="hybridMultilevel"/>
    <w:tmpl w:val="1D98D50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721C5A"/>
    <w:multiLevelType w:val="hybridMultilevel"/>
    <w:tmpl w:val="D046B6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A302949"/>
    <w:multiLevelType w:val="multilevel"/>
    <w:tmpl w:val="FDE2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3715D2"/>
    <w:multiLevelType w:val="hybridMultilevel"/>
    <w:tmpl w:val="BA6EA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0443"/>
    <w:multiLevelType w:val="multilevel"/>
    <w:tmpl w:val="78943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AF10D3"/>
    <w:multiLevelType w:val="hybridMultilevel"/>
    <w:tmpl w:val="C6EA8C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EE"/>
    <w:rsid w:val="00034E3D"/>
    <w:rsid w:val="00076864"/>
    <w:rsid w:val="000A783C"/>
    <w:rsid w:val="001257D0"/>
    <w:rsid w:val="00364D7A"/>
    <w:rsid w:val="00417F94"/>
    <w:rsid w:val="00647FA4"/>
    <w:rsid w:val="00653917"/>
    <w:rsid w:val="009F2DD4"/>
    <w:rsid w:val="009F6B1D"/>
    <w:rsid w:val="00C51A54"/>
    <w:rsid w:val="00C71E6C"/>
    <w:rsid w:val="00CE5A93"/>
    <w:rsid w:val="00DC5D7A"/>
    <w:rsid w:val="00E55CEE"/>
    <w:rsid w:val="00F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AF9F"/>
  <w15:chartTrackingRefBased/>
  <w15:docId w15:val="{46BA15B6-A1C9-40F5-82FF-E4DE9210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Carmen</dc:creator>
  <cp:keywords/>
  <dc:description/>
  <cp:lastModifiedBy>María del Carmen Díaz Martín</cp:lastModifiedBy>
  <cp:revision>3</cp:revision>
  <cp:lastPrinted>2023-09-01T07:57:00Z</cp:lastPrinted>
  <dcterms:created xsi:type="dcterms:W3CDTF">2023-09-01T07:24:00Z</dcterms:created>
  <dcterms:modified xsi:type="dcterms:W3CDTF">2023-09-01T10:16:00Z</dcterms:modified>
</cp:coreProperties>
</file>